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0" distT="0" distL="0" distR="0">
            <wp:extent cx="762000" cy="762000"/>
            <wp:effectExtent b="0" l="0" r="0" t="0"/>
            <wp:docPr descr="http://beslter.org/images/data-jam/logo-2-copy.jpg" id="1" name="image01.jpg"/>
            <a:graphic>
              <a:graphicData uri="http://schemas.openxmlformats.org/drawingml/2006/picture">
                <pic:pic>
                  <pic:nvPicPr>
                    <pic:cNvPr descr="http://beslter.org/images/data-jam/logo-2-copy.jpg" id="0" name="image01.jpg"/>
                    <pic:cNvPicPr preferRelativeResize="0"/>
                  </pic:nvPicPr>
                  <pic:blipFill>
                    <a:blip r:embed="rId5"/>
                    <a:srcRect b="0" l="0" r="0" t="0"/>
                    <a:stretch>
                      <a:fillRect/>
                    </a:stretch>
                  </pic:blipFill>
                  <pic:spPr>
                    <a:xfrm>
                      <a:off x="0" y="0"/>
                      <a:ext cx="762000" cy="762000"/>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36"/>
          <w:szCs w:val="36"/>
          <w:rtl w:val="0"/>
        </w:rPr>
        <w:t xml:space="preserve">Baltimore Data Jam: pH Metadata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Baltimore Ecosystem Study, BES, is a Long Term Ecological Study funded by the National Science Foundation. Their goal is to conduct long term research at ecological sites in Baltimore City and the surrounding areas. They broaden the idea of ecology to not only focus on the natural world, but include the people and the cities they live in, to better understand their role in the environment. </w:t>
      </w:r>
      <w:r w:rsidDel="00000000" w:rsidR="00000000" w:rsidRPr="00000000">
        <w:rPr>
          <w:rtl w:val="0"/>
        </w:rPr>
      </w:r>
    </w:p>
    <w:p w:rsidR="00000000" w:rsidDel="00000000" w:rsidP="00000000" w:rsidRDefault="00000000" w:rsidRPr="00000000">
      <w:pPr>
        <w:numPr>
          <w:ilvl w:val="0"/>
          <w:numId w:val="1"/>
        </w:numPr>
        <w:spacing w:after="0" w:before="0" w:line="276" w:lineRule="auto"/>
        <w:ind w:left="36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Dataset Variables:</w:t>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Date: calendar date sample was taken</w:t>
      </w:r>
      <w:r w:rsidDel="00000000" w:rsidR="00000000" w:rsidRPr="00000000">
        <w:rPr>
          <w:rtl w:val="0"/>
        </w:rPr>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Location: location following data was taken from (BARN=Baisman Run)</w:t>
      </w:r>
      <w:r w:rsidDel="00000000" w:rsidR="00000000" w:rsidRPr="00000000">
        <w:rPr>
          <w:rtl w:val="0"/>
        </w:rPr>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pH: pH value of sample</w:t>
      </w:r>
      <w:r w:rsidDel="00000000" w:rsidR="00000000" w:rsidRPr="00000000">
        <w:rPr>
          <w:rtl w:val="0"/>
        </w:rPr>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Date: calendar date sample was taken</w:t>
      </w:r>
      <w:r w:rsidDel="00000000" w:rsidR="00000000" w:rsidRPr="00000000">
        <w:rPr>
          <w:rtl w:val="0"/>
        </w:rPr>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Location: location following data was taken from (GRGF=Gwynns Run at Gwynns Falls)</w:t>
      </w:r>
      <w:r w:rsidDel="00000000" w:rsidR="00000000" w:rsidRPr="00000000">
        <w:rPr>
          <w:rtl w:val="0"/>
        </w:rPr>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pH: pH value of sample</w:t>
      </w:r>
      <w:r w:rsidDel="00000000" w:rsidR="00000000" w:rsidRPr="00000000">
        <w:rPr>
          <w:rtl w:val="0"/>
        </w:rPr>
      </w:r>
    </w:p>
    <w:p w:rsidR="00000000" w:rsidDel="00000000" w:rsidP="00000000" w:rsidRDefault="00000000" w:rsidRPr="00000000">
      <w:pPr>
        <w:numPr>
          <w:ilvl w:val="0"/>
          <w:numId w:val="1"/>
        </w:numPr>
        <w:spacing w:after="0" w:before="0" w:line="276" w:lineRule="auto"/>
        <w:ind w:left="36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Dataset Timeframe</w:t>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Dataset includes weekly samples for the year 2014.</w:t>
      </w:r>
      <w:r w:rsidDel="00000000" w:rsidR="00000000" w:rsidRPr="00000000">
        <w:rPr>
          <w:rtl w:val="0"/>
        </w:rPr>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Additional data is available for these and other sites for more than 15 years, starting in 1998.</w:t>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data were published 4/5/16.</w:t>
      </w:r>
    </w:p>
    <w:p w:rsidR="00000000" w:rsidDel="00000000" w:rsidP="00000000" w:rsidRDefault="00000000" w:rsidRPr="00000000">
      <w:pPr>
        <w:numPr>
          <w:ilvl w:val="0"/>
          <w:numId w:val="1"/>
        </w:numPr>
        <w:spacing w:after="0" w:before="0" w:line="276" w:lineRule="auto"/>
        <w:ind w:left="36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Data Collection Methods:</w:t>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Samples were collected by BES staff with clean plastic bottles from the same location in each stream every week.</w:t>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Cl concentrations were measured in the laboratories of the Cary Institute.</w:t>
      </w:r>
    </w:p>
    <w:p w:rsidR="00000000" w:rsidDel="00000000" w:rsidP="00000000" w:rsidRDefault="00000000" w:rsidRPr="00000000">
      <w:pPr>
        <w:numPr>
          <w:ilvl w:val="0"/>
          <w:numId w:val="1"/>
        </w:numPr>
        <w:spacing w:after="0" w:before="0" w:line="276" w:lineRule="auto"/>
        <w:ind w:left="36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Information About Sites </w:t>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Baisman Run is located in Baltimore County in Oregon Ridge Park. The 381 hectare watershed is mostly forested with a small number of large residential properties at the top of the watershed. The stream gauge is located at Ivy Hill Road underneath the bridge.</w:t>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Gwynns Run a</w:t>
      </w:r>
      <w:r w:rsidDel="00000000" w:rsidR="00000000" w:rsidRPr="00000000">
        <w:rPr>
          <w:rFonts w:ascii="Times New Roman" w:cs="Times New Roman" w:eastAsia="Times New Roman" w:hAnsi="Times New Roman"/>
          <w:b w:val="0"/>
          <w:color w:val="000000"/>
          <w:sz w:val="24"/>
          <w:szCs w:val="24"/>
          <w:rtl w:val="0"/>
        </w:rPr>
        <w:t xml:space="preserve">t</w:t>
      </w:r>
      <w:r w:rsidDel="00000000" w:rsidR="00000000" w:rsidRPr="00000000">
        <w:rPr>
          <w:rFonts w:ascii="Times New Roman" w:cs="Times New Roman" w:eastAsia="Times New Roman" w:hAnsi="Times New Roman"/>
          <w:b w:val="0"/>
          <w:color w:val="000000"/>
          <w:sz w:val="24"/>
          <w:szCs w:val="24"/>
          <w:rtl w:val="0"/>
        </w:rPr>
        <w:t xml:space="preserve"> Gwynns Falls </w:t>
      </w:r>
      <w:r w:rsidDel="00000000" w:rsidR="00000000" w:rsidRPr="00000000">
        <w:rPr>
          <w:rFonts w:ascii="Times New Roman" w:cs="Times New Roman" w:eastAsia="Times New Roman" w:hAnsi="Times New Roman"/>
          <w:sz w:val="24"/>
          <w:szCs w:val="24"/>
          <w:rtl w:val="0"/>
        </w:rPr>
        <w:t xml:space="preserve">sample site is located in Carroll Park. Carroll Park is located in Baltimore City in the Carroll Park Municipal golf course. The watershed is approximately 2.5 square miles and is considered an urban subwatershed. Denitrification efforts have taken place to help improve the the quality of the stream. </w:t>
      </w:r>
    </w:p>
    <w:p w:rsidR="00000000" w:rsidDel="00000000" w:rsidP="00000000" w:rsidRDefault="00000000" w:rsidRPr="00000000">
      <w:pPr>
        <w:spacing w:after="0" w:line="276" w:lineRule="auto"/>
        <w:ind w:left="720" w:firstLine="0"/>
        <w:contextualSpacing w:val="0"/>
      </w:pPr>
      <w:r w:rsidDel="00000000" w:rsidR="00000000" w:rsidRPr="00000000">
        <w:drawing>
          <wp:inline distB="114300" distT="114300" distL="114300" distR="114300">
            <wp:extent cx="4943475" cy="3771900"/>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4943475" cy="377190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spacing w:after="0" w:line="276" w:lineRule="auto"/>
        <w:ind w:left="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Person for Dataset: </w:t>
      </w:r>
    </w:p>
    <w:p w:rsidR="00000000" w:rsidDel="00000000" w:rsidP="00000000" w:rsidRDefault="00000000" w:rsidRPr="00000000">
      <w:pPr>
        <w:numPr>
          <w:ilvl w:val="1"/>
          <w:numId w:val="1"/>
        </w:numPr>
        <w:spacing w:after="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Peter Groffman, BES Co-Principal Investigator, (845) 677-7600 x128, </w:t>
      </w:r>
      <w:hyperlink r:id="rId7">
        <w:r w:rsidDel="00000000" w:rsidR="00000000" w:rsidRPr="00000000">
          <w:rPr>
            <w:rFonts w:ascii="Times New Roman" w:cs="Times New Roman" w:eastAsia="Times New Roman" w:hAnsi="Times New Roman"/>
            <w:color w:val="0563c1"/>
            <w:sz w:val="24"/>
            <w:szCs w:val="24"/>
            <w:u w:val="single"/>
            <w:rtl w:val="0"/>
          </w:rPr>
          <w:t xml:space="preserve">groffmanp@caryinstitute.org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1"/>
          <w:numId w:val="1"/>
        </w:numPr>
        <w:spacing w:after="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 information at: </w:t>
      </w:r>
      <w:hyperlink r:id="rId8">
        <w:r w:rsidDel="00000000" w:rsidR="00000000" w:rsidRPr="00000000">
          <w:rPr>
            <w:rFonts w:ascii="Times New Roman" w:cs="Times New Roman" w:eastAsia="Times New Roman" w:hAnsi="Times New Roman"/>
            <w:color w:val="0563c1"/>
            <w:sz w:val="24"/>
            <w:szCs w:val="24"/>
            <w:u w:val="single"/>
            <w:rtl w:val="0"/>
          </w:rPr>
          <w:t xml:space="preserve">http://www.caryinstitute.org/science-program/our-scientists/dr-peter-m-roffman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1"/>
          <w:numId w:val="1"/>
        </w:numPr>
        <w:spacing w:after="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Groffman specializes in soil ecology and water quality. His research focuses on the role of microorganisms in ecosystems, microbial processes, and nutrient cycling within the environment. </w:t>
      </w:r>
      <w:r w:rsidDel="00000000" w:rsidR="00000000" w:rsidRPr="00000000">
        <w:rPr>
          <w:rtl w:val="0"/>
        </w:rPr>
      </w:r>
    </w:p>
    <w:p w:rsidR="00000000" w:rsidDel="00000000" w:rsidP="00000000" w:rsidRDefault="00000000" w:rsidRPr="00000000">
      <w:pPr>
        <w:numPr>
          <w:ilvl w:val="0"/>
          <w:numId w:val="1"/>
        </w:numPr>
        <w:spacing w:after="0" w:before="0" w:line="276" w:lineRule="auto"/>
        <w:ind w:left="36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Background Information</w:t>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pH is used to measure how acidic or basic a solution is. The pH scale ranges from 0-14 with lower values being more acidic and higher values more basic. The middle of the scale, 7, represents a neutral value. pH can indicate whether a solution, like water in a stream, is changing chemically, </w:t>
      </w:r>
      <w:r w:rsidDel="00000000" w:rsidR="00000000" w:rsidRPr="00000000">
        <w:rPr>
          <w:rFonts w:ascii="Times New Roman" w:cs="Times New Roman" w:eastAsia="Times New Roman" w:hAnsi="Times New Roman"/>
          <w:sz w:val="24"/>
          <w:szCs w:val="24"/>
          <w:rtl w:val="0"/>
        </w:rPr>
        <w:t xml:space="preserve">for instance,</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w:t>
      </w:r>
      <w:r w:rsidDel="00000000" w:rsidR="00000000" w:rsidRPr="00000000">
        <w:rPr>
          <w:rFonts w:ascii="Times New Roman" w:cs="Times New Roman" w:eastAsia="Times New Roman" w:hAnsi="Times New Roman"/>
          <w:b w:val="0"/>
          <w:color w:val="000000"/>
          <w:sz w:val="24"/>
          <w:szCs w:val="24"/>
          <w:rtl w:val="0"/>
        </w:rPr>
        <w:t xml:space="preserve"> pollutants </w:t>
      </w:r>
      <w:r w:rsidDel="00000000" w:rsidR="00000000" w:rsidRPr="00000000">
        <w:rPr>
          <w:rFonts w:ascii="Times New Roman" w:cs="Times New Roman" w:eastAsia="Times New Roman" w:hAnsi="Times New Roman"/>
          <w:sz w:val="24"/>
          <w:szCs w:val="24"/>
          <w:rtl w:val="0"/>
        </w:rPr>
        <w:t xml:space="preserve">have entered</w:t>
      </w:r>
      <w:r w:rsidDel="00000000" w:rsidR="00000000" w:rsidRPr="00000000">
        <w:rPr>
          <w:rFonts w:ascii="Times New Roman" w:cs="Times New Roman" w:eastAsia="Times New Roman" w:hAnsi="Times New Roman"/>
          <w:b w:val="0"/>
          <w:color w:val="000000"/>
          <w:sz w:val="24"/>
          <w:szCs w:val="24"/>
          <w:rtl w:val="0"/>
        </w:rPr>
        <w:t xml:space="preserve"> the waterway. </w:t>
      </w:r>
      <w:r w:rsidDel="00000000" w:rsidR="00000000" w:rsidRPr="00000000">
        <w:rPr>
          <w:rtl w:val="0"/>
        </w:rPr>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average pH of rain is 5.6. Most pollutants lower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color w:val="000000"/>
          <w:sz w:val="24"/>
          <w:szCs w:val="24"/>
          <w:rtl w:val="0"/>
        </w:rPr>
        <w:t xml:space="preserve"> stream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color w:val="000000"/>
          <w:sz w:val="24"/>
          <w:szCs w:val="24"/>
          <w:rtl w:val="0"/>
        </w:rPr>
        <w:t xml:space="preserve">s pH, making it more acidic and causing adverse effects to aquatic life. A common reason the pH of a stream would become more acidic include acid rain. The pH can also increase, and become more basic, or alkaline, due to lime, which is used in agriculture, construction, and manufacturing goods like paper and glas</w:t>
      </w:r>
      <w:r w:rsidDel="00000000" w:rsidR="00000000" w:rsidRPr="00000000">
        <w:rPr>
          <w:rFonts w:ascii="Times New Roman" w:cs="Times New Roman" w:eastAsia="Times New Roman" w:hAnsi="Times New Roman"/>
          <w:sz w:val="24"/>
          <w:szCs w:val="24"/>
          <w:rtl w:val="0"/>
        </w:rPr>
        <w:t xml:space="preserve">s.  Lime is</w:t>
      </w:r>
      <w:r w:rsidDel="00000000" w:rsidR="00000000" w:rsidRPr="00000000">
        <w:rPr>
          <w:rFonts w:ascii="Times New Roman" w:cs="Times New Roman" w:eastAsia="Times New Roman" w:hAnsi="Times New Roman"/>
          <w:b w:val="0"/>
          <w:color w:val="000000"/>
          <w:sz w:val="24"/>
          <w:szCs w:val="24"/>
          <w:rtl w:val="0"/>
        </w:rPr>
        <w:t xml:space="preserve"> also found naturally in limestone. </w:t>
      </w:r>
      <w:r w:rsidDel="00000000" w:rsidR="00000000" w:rsidRPr="00000000">
        <w:rPr>
          <w:rtl w:val="0"/>
        </w:rPr>
      </w:r>
    </w:p>
    <w:p w:rsidR="00000000" w:rsidDel="00000000" w:rsidP="00000000" w:rsidRDefault="00000000" w:rsidRPr="00000000">
      <w:pPr>
        <w:numPr>
          <w:ilvl w:val="0"/>
          <w:numId w:val="1"/>
        </w:numPr>
        <w:spacing w:after="0" w:before="0" w:line="276" w:lineRule="auto"/>
        <w:ind w:left="36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Link to Maryland State Curriculum</w:t>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Grade six</w:t>
      </w:r>
      <w:r w:rsidDel="00000000" w:rsidR="00000000" w:rsidRPr="00000000">
        <w:rPr>
          <w:rtl w:val="0"/>
        </w:rPr>
      </w:r>
    </w:p>
    <w:p w:rsidR="00000000" w:rsidDel="00000000" w:rsidP="00000000" w:rsidRDefault="00000000" w:rsidRPr="00000000">
      <w:pPr>
        <w:numPr>
          <w:ilvl w:val="2"/>
          <w:numId w:val="1"/>
        </w:numPr>
        <w:spacing w:after="0" w:before="0" w:line="276" w:lineRule="auto"/>
        <w:ind w:left="108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Standard 1.0, Topic B, Indicator 1.</w:t>
      </w:r>
      <w:r w:rsidDel="00000000" w:rsidR="00000000" w:rsidRPr="00000000">
        <w:rPr>
          <w:rtl w:val="0"/>
        </w:rPr>
      </w:r>
    </w:p>
    <w:p w:rsidR="00000000" w:rsidDel="00000000" w:rsidP="00000000" w:rsidRDefault="00000000" w:rsidRPr="00000000">
      <w:pPr>
        <w:numPr>
          <w:ilvl w:val="2"/>
          <w:numId w:val="1"/>
        </w:numPr>
        <w:spacing w:after="0" w:before="0" w:line="276" w:lineRule="auto"/>
        <w:ind w:left="108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Standard 6, Topic. B, Indicator 1</w:t>
      </w:r>
      <w:r w:rsidDel="00000000" w:rsidR="00000000" w:rsidRPr="00000000">
        <w:rPr>
          <w:rtl w:val="0"/>
        </w:rPr>
      </w:r>
    </w:p>
    <w:p w:rsidR="00000000" w:rsidDel="00000000" w:rsidP="00000000" w:rsidRDefault="00000000" w:rsidRPr="00000000">
      <w:pPr>
        <w:numPr>
          <w:ilvl w:val="1"/>
          <w:numId w:val="1"/>
        </w:numPr>
        <w:spacing w:after="0" w:before="0" w:line="276"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Grade seven</w:t>
      </w:r>
      <w:r w:rsidDel="00000000" w:rsidR="00000000" w:rsidRPr="00000000">
        <w:rPr>
          <w:rtl w:val="0"/>
        </w:rPr>
      </w:r>
    </w:p>
    <w:p w:rsidR="00000000" w:rsidDel="00000000" w:rsidP="00000000" w:rsidRDefault="00000000" w:rsidRPr="00000000">
      <w:pPr>
        <w:numPr>
          <w:ilvl w:val="2"/>
          <w:numId w:val="1"/>
        </w:numPr>
        <w:spacing w:after="0" w:before="0" w:line="276" w:lineRule="auto"/>
        <w:ind w:left="108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Standard 1.0, Topic B, Indicator 1.</w:t>
      </w:r>
      <w:r w:rsidDel="00000000" w:rsidR="00000000" w:rsidRPr="00000000">
        <w:rPr>
          <w:rtl w:val="0"/>
        </w:rPr>
      </w:r>
    </w:p>
    <w:p w:rsidR="00000000" w:rsidDel="00000000" w:rsidP="00000000" w:rsidRDefault="00000000" w:rsidRPr="00000000">
      <w:pPr>
        <w:numPr>
          <w:ilvl w:val="2"/>
          <w:numId w:val="1"/>
        </w:numPr>
        <w:spacing w:after="0" w:before="0" w:line="276" w:lineRule="auto"/>
        <w:ind w:left="108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Standard 6, Topic A, Indicator 1</w:t>
      </w:r>
      <w:r w:rsidDel="00000000" w:rsidR="00000000" w:rsidRPr="00000000">
        <w:rPr>
          <w:rtl w:val="0"/>
        </w:rPr>
      </w:r>
    </w:p>
    <w:p w:rsidR="00000000" w:rsidDel="00000000" w:rsidP="00000000" w:rsidRDefault="00000000" w:rsidRPr="00000000">
      <w:pPr>
        <w:numPr>
          <w:ilvl w:val="1"/>
          <w:numId w:val="1"/>
        </w:numPr>
        <w:spacing w:after="0" w:before="0" w:line="276"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Grade eight</w:t>
      </w:r>
      <w:r w:rsidDel="00000000" w:rsidR="00000000" w:rsidRPr="00000000">
        <w:rPr>
          <w:rtl w:val="0"/>
        </w:rPr>
      </w:r>
    </w:p>
    <w:p w:rsidR="00000000" w:rsidDel="00000000" w:rsidP="00000000" w:rsidRDefault="00000000" w:rsidRPr="00000000">
      <w:pPr>
        <w:numPr>
          <w:ilvl w:val="2"/>
          <w:numId w:val="1"/>
        </w:numPr>
        <w:spacing w:after="0" w:before="0" w:line="276" w:lineRule="auto"/>
        <w:ind w:left="108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Standard 1.0, Topic B, Indicator 1.</w:t>
      </w:r>
      <w:r w:rsidDel="00000000" w:rsidR="00000000" w:rsidRPr="00000000">
        <w:rPr>
          <w:rtl w:val="0"/>
        </w:rPr>
      </w:r>
    </w:p>
    <w:p w:rsidR="00000000" w:rsidDel="00000000" w:rsidP="00000000" w:rsidRDefault="00000000" w:rsidRPr="00000000">
      <w:pPr>
        <w:numPr>
          <w:ilvl w:val="2"/>
          <w:numId w:val="1"/>
        </w:numPr>
        <w:spacing w:after="0" w:before="0" w:line="276" w:lineRule="auto"/>
        <w:ind w:left="108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Standard 6, Topic B, Indicator 1</w:t>
      </w:r>
      <w:r w:rsidDel="00000000" w:rsidR="00000000" w:rsidRPr="00000000">
        <w:rPr>
          <w:rtl w:val="0"/>
        </w:rPr>
      </w:r>
    </w:p>
    <w:p w:rsidR="00000000" w:rsidDel="00000000" w:rsidP="00000000" w:rsidRDefault="00000000" w:rsidRPr="00000000">
      <w:pPr>
        <w:numPr>
          <w:ilvl w:val="2"/>
          <w:numId w:val="1"/>
        </w:numPr>
        <w:spacing w:after="0" w:before="0" w:line="276" w:lineRule="auto"/>
        <w:ind w:left="108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Standard 4.0, Topic D, Indicator 2. </w:t>
      </w:r>
    </w:p>
    <w:p w:rsidR="00000000" w:rsidDel="00000000" w:rsidP="00000000" w:rsidRDefault="00000000" w:rsidRPr="00000000">
      <w:pPr>
        <w:numPr>
          <w:ilvl w:val="0"/>
          <w:numId w:val="1"/>
        </w:numPr>
        <w:spacing w:after="0" w:before="0" w:line="276" w:lineRule="auto"/>
        <w:ind w:left="36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Inquiry Idea Starters</w:t>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How does the pH differ at the two sites?</w:t>
      </w:r>
      <w:r w:rsidDel="00000000" w:rsidR="00000000" w:rsidRPr="00000000">
        <w:rPr>
          <w:rtl w:val="0"/>
        </w:rPr>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What are some hypotheses as to why the </w:t>
      </w:r>
      <w:r w:rsidDel="00000000" w:rsidR="00000000" w:rsidRPr="00000000">
        <w:rPr>
          <w:rFonts w:ascii="Times New Roman" w:cs="Times New Roman" w:eastAsia="Times New Roman" w:hAnsi="Times New Roman"/>
          <w:b w:val="0"/>
          <w:color w:val="000000"/>
          <w:sz w:val="24"/>
          <w:szCs w:val="24"/>
          <w:rtl w:val="0"/>
        </w:rPr>
        <w:t xml:space="preserve">pH is different at the two sites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color w:val="000000"/>
          <w:sz w:val="24"/>
          <w:szCs w:val="24"/>
          <w:rtl w:val="0"/>
        </w:rPr>
        <w:t xml:space="preserve">What are the trends in the data? What do you predict the pH will do in the future?</w:t>
      </w:r>
      <w:r w:rsidDel="00000000" w:rsidR="00000000" w:rsidRPr="00000000">
        <w:rPr>
          <w:rtl w:val="0"/>
        </w:rPr>
      </w:r>
    </w:p>
    <w:p w:rsidR="00000000" w:rsidDel="00000000" w:rsidP="00000000" w:rsidRDefault="00000000" w:rsidRPr="00000000">
      <w:pPr>
        <w:numPr>
          <w:ilvl w:val="0"/>
          <w:numId w:val="1"/>
        </w:numPr>
        <w:spacing w:after="0" w:before="0" w:line="276" w:lineRule="auto"/>
        <w:ind w:left="36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Additional Resources</w:t>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0"/>
          <w:color w:val="000000"/>
          <w:sz w:val="24"/>
          <w:szCs w:val="24"/>
        </w:rPr>
      </w:pPr>
      <w:hyperlink r:id="rId9">
        <w:r w:rsidDel="00000000" w:rsidR="00000000" w:rsidRPr="00000000">
          <w:rPr>
            <w:rFonts w:ascii="Times New Roman" w:cs="Times New Roman" w:eastAsia="Times New Roman" w:hAnsi="Times New Roman"/>
            <w:b w:val="0"/>
            <w:color w:val="0563c1"/>
            <w:sz w:val="24"/>
            <w:szCs w:val="24"/>
            <w:u w:val="single"/>
            <w:rtl w:val="0"/>
          </w:rPr>
          <w:t xml:space="preserve">http://extension.usu.edu/waterquality/whats-in-your-water/ph</w:t>
        </w:r>
      </w:hyperlink>
      <w:hyperlink r:id="rId10">
        <w:r w:rsidDel="00000000" w:rsidR="00000000" w:rsidRPr="00000000">
          <w:rPr>
            <w:rtl w:val="0"/>
          </w:rPr>
        </w:r>
      </w:hyperlink>
    </w:p>
    <w:p w:rsidR="00000000" w:rsidDel="00000000" w:rsidP="00000000" w:rsidRDefault="00000000" w:rsidRPr="00000000">
      <w:pPr>
        <w:numPr>
          <w:ilvl w:val="2"/>
          <w:numId w:val="1"/>
        </w:numPr>
        <w:spacing w:after="0" w:before="0" w:line="276" w:lineRule="auto"/>
        <w:ind w:left="108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Utah State University Extension </w:t>
      </w:r>
      <w:r w:rsidDel="00000000" w:rsidR="00000000" w:rsidRPr="00000000">
        <w:rPr>
          <w:rFonts w:ascii="Times New Roman" w:cs="Times New Roman" w:eastAsia="Times New Roman" w:hAnsi="Times New Roman"/>
          <w:sz w:val="24"/>
          <w:szCs w:val="24"/>
          <w:rtl w:val="0"/>
        </w:rPr>
        <w:t xml:space="preserve">discusses</w:t>
      </w:r>
      <w:r w:rsidDel="00000000" w:rsidR="00000000" w:rsidRPr="00000000">
        <w:rPr>
          <w:rFonts w:ascii="Times New Roman" w:cs="Times New Roman" w:eastAsia="Times New Roman" w:hAnsi="Times New Roman"/>
          <w:b w:val="0"/>
          <w:color w:val="000000"/>
          <w:sz w:val="24"/>
          <w:szCs w:val="24"/>
          <w:rtl w:val="0"/>
        </w:rPr>
        <w:t xml:space="preserve"> how pH affects water quality</w:t>
      </w:r>
      <w:r w:rsidDel="00000000" w:rsidR="00000000" w:rsidRPr="00000000">
        <w:rPr>
          <w:rFonts w:ascii="Times New Roman" w:cs="Times New Roman" w:eastAsia="Times New Roman" w:hAnsi="Times New Roman"/>
          <w:sz w:val="24"/>
          <w:szCs w:val="24"/>
          <w:rtl w:val="0"/>
        </w:rPr>
        <w:t xml:space="preserve">, including </w:t>
      </w:r>
      <w:r w:rsidDel="00000000" w:rsidR="00000000" w:rsidRPr="00000000">
        <w:rPr>
          <w:rFonts w:ascii="Times New Roman" w:cs="Times New Roman" w:eastAsia="Times New Roman" w:hAnsi="Times New Roman"/>
          <w:b w:val="0"/>
          <w:color w:val="000000"/>
          <w:sz w:val="24"/>
          <w:szCs w:val="24"/>
          <w:rtl w:val="0"/>
        </w:rPr>
        <w:t xml:space="preserve">natural and non-natural reasons the pH of a stream can fluctuate and </w:t>
      </w:r>
      <w:r w:rsidDel="00000000" w:rsidR="00000000" w:rsidRPr="00000000">
        <w:rPr>
          <w:rFonts w:ascii="Times New Roman" w:cs="Times New Roman" w:eastAsia="Times New Roman" w:hAnsi="Times New Roman"/>
          <w:sz w:val="24"/>
          <w:szCs w:val="24"/>
          <w:rtl w:val="0"/>
        </w:rPr>
        <w:t xml:space="preserve">how pH impacts</w:t>
      </w:r>
      <w:r w:rsidDel="00000000" w:rsidR="00000000" w:rsidRPr="00000000">
        <w:rPr>
          <w:rFonts w:ascii="Times New Roman" w:cs="Times New Roman" w:eastAsia="Times New Roman" w:hAnsi="Times New Roman"/>
          <w:b w:val="0"/>
          <w:color w:val="000000"/>
          <w:sz w:val="24"/>
          <w:szCs w:val="24"/>
          <w:rtl w:val="0"/>
        </w:rPr>
        <w:t xml:space="preserve"> stream health. </w:t>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0"/>
          <w:color w:val="000000"/>
          <w:sz w:val="24"/>
          <w:szCs w:val="24"/>
        </w:rPr>
      </w:pPr>
      <w:hyperlink r:id="rId11">
        <w:r w:rsidDel="00000000" w:rsidR="00000000" w:rsidRPr="00000000">
          <w:rPr>
            <w:rFonts w:ascii="Times New Roman" w:cs="Times New Roman" w:eastAsia="Times New Roman" w:hAnsi="Times New Roman"/>
            <w:b w:val="0"/>
            <w:color w:val="0563c1"/>
            <w:sz w:val="24"/>
            <w:szCs w:val="24"/>
            <w:u w:val="single"/>
            <w:rtl w:val="0"/>
          </w:rPr>
          <w:t xml:space="preserve">https://www3.epa.gov/caddis/ssr_ph_int.html</w:t>
        </w:r>
      </w:hyperlink>
      <w:r w:rsidDel="00000000" w:rsidR="00000000" w:rsidRPr="00000000">
        <w:rPr>
          <w:rFonts w:ascii="Times New Roman" w:cs="Times New Roman" w:eastAsia="Times New Roman" w:hAnsi="Times New Roman"/>
          <w:b w:val="0"/>
          <w:color w:val="000000"/>
          <w:sz w:val="24"/>
          <w:szCs w:val="24"/>
          <w:rtl w:val="0"/>
        </w:rPr>
        <w:t xml:space="preserve"> </w:t>
      </w:r>
    </w:p>
    <w:p w:rsidR="00000000" w:rsidDel="00000000" w:rsidP="00000000" w:rsidRDefault="00000000" w:rsidRPr="00000000">
      <w:pPr>
        <w:numPr>
          <w:ilvl w:val="2"/>
          <w:numId w:val="1"/>
        </w:numPr>
        <w:spacing w:after="0" w:before="0" w:line="276" w:lineRule="auto"/>
        <w:ind w:left="108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EPA describes the pH scale and what it means.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Sources</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sz w:val="24"/>
          <w:szCs w:val="24"/>
          <w:rtl w:val="0"/>
        </w:rPr>
        <w:t xml:space="preserve">pH Water Properties. </w:t>
      </w:r>
      <w:r w:rsidDel="00000000" w:rsidR="00000000" w:rsidRPr="00000000">
        <w:rPr>
          <w:rFonts w:ascii="Times New Roman" w:cs="Times New Roman" w:eastAsia="Times New Roman" w:hAnsi="Times New Roman"/>
          <w:i w:val="1"/>
          <w:sz w:val="24"/>
          <w:szCs w:val="24"/>
          <w:rtl w:val="0"/>
        </w:rPr>
        <w:t xml:space="preserve">United States Geological Survey. </w:t>
      </w:r>
      <w:r w:rsidDel="00000000" w:rsidR="00000000" w:rsidRPr="00000000">
        <w:rPr>
          <w:rFonts w:ascii="Times New Roman" w:cs="Times New Roman" w:eastAsia="Times New Roman" w:hAnsi="Times New Roman"/>
          <w:sz w:val="24"/>
          <w:szCs w:val="24"/>
          <w:rtl w:val="0"/>
        </w:rPr>
        <w:t xml:space="preserve">July 31, 2016. </w:t>
      </w:r>
      <w:hyperlink r:id="rId12">
        <w:r w:rsidDel="00000000" w:rsidR="00000000" w:rsidRPr="00000000">
          <w:rPr>
            <w:rFonts w:ascii="Times New Roman" w:cs="Times New Roman" w:eastAsia="Times New Roman" w:hAnsi="Times New Roman"/>
            <w:color w:val="0563c1"/>
            <w:sz w:val="24"/>
            <w:szCs w:val="24"/>
            <w:u w:val="single"/>
            <w:rtl w:val="0"/>
          </w:rPr>
          <w:t xml:space="preserve">http://water.usgs.gov/edu/ph.html</w:t>
        </w:r>
      </w:hyperlink>
      <w:hyperlink r:id="rId13">
        <w:r w:rsidDel="00000000" w:rsidR="00000000" w:rsidRPr="00000000">
          <w:rPr>
            <w:rtl w:val="0"/>
          </w:rPr>
        </w:r>
      </w:hyperlink>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sz w:val="24"/>
          <w:szCs w:val="24"/>
          <w:rtl w:val="0"/>
        </w:rPr>
        <w:t xml:space="preserve">Effects on Lakes and Aquatic Ecosystems. </w:t>
      </w:r>
      <w:r w:rsidDel="00000000" w:rsidR="00000000" w:rsidRPr="00000000">
        <w:rPr>
          <w:rFonts w:ascii="Times New Roman" w:cs="Times New Roman" w:eastAsia="Times New Roman" w:hAnsi="Times New Roman"/>
          <w:i w:val="1"/>
          <w:sz w:val="24"/>
          <w:szCs w:val="24"/>
          <w:rtl w:val="0"/>
        </w:rPr>
        <w:t xml:space="preserve">Ohio State University, Department of Physics. </w:t>
      </w:r>
      <w:r w:rsidDel="00000000" w:rsidR="00000000" w:rsidRPr="00000000">
        <w:rPr>
          <w:rFonts w:ascii="Times New Roman" w:cs="Times New Roman" w:eastAsia="Times New Roman" w:hAnsi="Times New Roman"/>
          <w:sz w:val="24"/>
          <w:szCs w:val="24"/>
          <w:rtl w:val="0"/>
        </w:rPr>
        <w:t xml:space="preserve">Accessed July 28, 2016. </w:t>
      </w:r>
      <w:hyperlink r:id="rId14">
        <w:r w:rsidDel="00000000" w:rsidR="00000000" w:rsidRPr="00000000">
          <w:rPr>
            <w:rFonts w:ascii="Times New Roman" w:cs="Times New Roman" w:eastAsia="Times New Roman" w:hAnsi="Times New Roman"/>
            <w:color w:val="0563c1"/>
            <w:sz w:val="24"/>
            <w:szCs w:val="24"/>
            <w:u w:val="single"/>
            <w:rtl w:val="0"/>
          </w:rPr>
          <w:t xml:space="preserve">http://www.physics.ohio-state.edu/~kagan/phy367/P367_articles/AcidRain/effects-on-lakes.html</w:t>
        </w:r>
      </w:hyperlink>
      <w:hyperlink r:id="rId15">
        <w:r w:rsidDel="00000000" w:rsidR="00000000" w:rsidRPr="00000000">
          <w:rPr>
            <w:rtl w:val="0"/>
          </w:rPr>
        </w:r>
      </w:hyperlink>
    </w:p>
    <w:p w:rsidR="00000000" w:rsidDel="00000000" w:rsidP="00000000" w:rsidRDefault="00000000" w:rsidRPr="00000000">
      <w:pPr>
        <w:spacing w:after="0" w:before="0" w:line="276" w:lineRule="auto"/>
        <w:ind w:left="720" w:hanging="720"/>
        <w:contextualSpacing w:val="0"/>
      </w:pPr>
      <w:bookmarkStart w:colFirst="0" w:colLast="0" w:name="_gjdgxs" w:id="0"/>
      <w:bookmarkEnd w:id="0"/>
      <w:r w:rsidDel="00000000" w:rsidR="00000000" w:rsidRPr="00000000">
        <w:rPr>
          <w:rFonts w:ascii="Times New Roman" w:cs="Times New Roman" w:eastAsia="Times New Roman" w:hAnsi="Times New Roman"/>
          <w:b w:val="0"/>
          <w:color w:val="000000"/>
          <w:sz w:val="24"/>
          <w:szCs w:val="24"/>
          <w:rtl w:val="0"/>
        </w:rPr>
        <w:t xml:space="preserve">Factors Influencing Stream Health. </w:t>
      </w:r>
      <w:r w:rsidDel="00000000" w:rsidR="00000000" w:rsidRPr="00000000">
        <w:rPr>
          <w:rFonts w:ascii="Times New Roman" w:cs="Times New Roman" w:eastAsia="Times New Roman" w:hAnsi="Times New Roman"/>
          <w:b w:val="0"/>
          <w:i w:val="1"/>
          <w:color w:val="000000"/>
          <w:sz w:val="24"/>
          <w:szCs w:val="24"/>
          <w:rtl w:val="0"/>
        </w:rPr>
        <w:t xml:space="preserve">University of Hawaii. </w:t>
      </w:r>
      <w:r w:rsidDel="00000000" w:rsidR="00000000" w:rsidRPr="00000000">
        <w:rPr>
          <w:rFonts w:ascii="Times New Roman" w:cs="Times New Roman" w:eastAsia="Times New Roman" w:hAnsi="Times New Roman"/>
          <w:b w:val="0"/>
          <w:color w:val="000000"/>
          <w:sz w:val="24"/>
          <w:szCs w:val="24"/>
          <w:rtl w:val="0"/>
        </w:rPr>
        <w:t xml:space="preserve">Accessed July 26, 2016.</w:t>
      </w:r>
    </w:p>
    <w:p w:rsidR="00000000" w:rsidDel="00000000" w:rsidP="00000000" w:rsidRDefault="00000000" w:rsidRPr="00000000">
      <w:pPr>
        <w:spacing w:after="0" w:before="0" w:line="276" w:lineRule="auto"/>
        <w:ind w:left="720" w:hanging="720"/>
        <w:contextualSpacing w:val="0"/>
      </w:pPr>
      <w:hyperlink r:id="rId16">
        <w:r w:rsidDel="00000000" w:rsidR="00000000" w:rsidRPr="00000000">
          <w:rPr>
            <w:rFonts w:ascii="Times New Roman" w:cs="Times New Roman" w:eastAsia="Times New Roman" w:hAnsi="Times New Roman"/>
            <w:b w:val="0"/>
            <w:color w:val="0563c1"/>
            <w:sz w:val="24"/>
            <w:szCs w:val="24"/>
            <w:u w:val="single"/>
            <w:rtl w:val="0"/>
          </w:rPr>
          <w:t xml:space="preserve">http://www.hawaii.edu/gk-12/evo/erinb.streams.factors.htm</w:t>
        </w:r>
      </w:hyperlink>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3.epa.gov/caddis/ssr_ph_int.html" TargetMode="External"/><Relationship Id="rId10" Type="http://schemas.openxmlformats.org/officeDocument/2006/relationships/hyperlink" Target="http://extension.usu.edu/waterquality/whats-in-your-water/ph" TargetMode="External"/><Relationship Id="rId13" Type="http://schemas.openxmlformats.org/officeDocument/2006/relationships/hyperlink" Target="http://water.usgs.gov/edu/ph.html" TargetMode="External"/><Relationship Id="rId12" Type="http://schemas.openxmlformats.org/officeDocument/2006/relationships/hyperlink" Target="http://water.usgs.gov/edu/ph.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extension.usu.edu/waterquality/whats-in-your-water/ph" TargetMode="External"/><Relationship Id="rId15" Type="http://schemas.openxmlformats.org/officeDocument/2006/relationships/hyperlink" Target="http://www.physics.ohio-state.edu/~kagan/phy367/P367_articles/AcidRain/effects-on-lakes.html" TargetMode="External"/><Relationship Id="rId14" Type="http://schemas.openxmlformats.org/officeDocument/2006/relationships/hyperlink" Target="http://www.physics.ohio-state.edu/~kagan/phy367/P367_articles/AcidRain/effects-on-lakes.html" TargetMode="External"/><Relationship Id="rId16" Type="http://schemas.openxmlformats.org/officeDocument/2006/relationships/hyperlink" Target="http://www.hawaii.edu/gk-12/evo/erinb.streams.factors.htm" TargetMode="External"/><Relationship Id="rId5" Type="http://schemas.openxmlformats.org/officeDocument/2006/relationships/image" Target="media/image01.jpg"/><Relationship Id="rId6" Type="http://schemas.openxmlformats.org/officeDocument/2006/relationships/image" Target="media/image03.png"/><Relationship Id="rId7" Type="http://schemas.openxmlformats.org/officeDocument/2006/relationships/hyperlink" Target="mailto:groffmanp@caryinstitute.org" TargetMode="External"/><Relationship Id="rId8" Type="http://schemas.openxmlformats.org/officeDocument/2006/relationships/hyperlink" Target="http://www.caryinstitute.org/science-program/our-scientists/dr-peter-m-roffman" TargetMode="External"/></Relationships>
</file>