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762000" cy="762000"/>
            <wp:effectExtent b="0" l="0" r="0" t="0"/>
            <wp:docPr descr="http://beslter.org/images/data-jam/logo-2-copy.jpg" id="1" name="image01.jpg"/>
            <a:graphic>
              <a:graphicData uri="http://schemas.openxmlformats.org/drawingml/2006/picture">
                <pic:pic>
                  <pic:nvPicPr>
                    <pic:cNvPr descr="http://beslter.org/images/data-jam/logo-2-copy.jpg" id="0" name="image01.jpg"/>
                    <pic:cNvPicPr preferRelativeResize="0"/>
                  </pic:nvPicPr>
                  <pic:blipFill>
                    <a:blip r:embed="rId5"/>
                    <a:srcRect b="0" l="0" r="0" t="0"/>
                    <a:stretch>
                      <a:fillRect/>
                    </a:stretch>
                  </pic:blipFill>
                  <pic:spPr>
                    <a:xfrm>
                      <a:off x="0" y="0"/>
                      <a:ext cx="762000" cy="762000"/>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sz w:val="36"/>
          <w:szCs w:val="36"/>
          <w:rtl w:val="0"/>
        </w:rPr>
        <w:t xml:space="preserve">Baltimore Data Jam: Rain Gauge Metadata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Baltimore Ecosystem Study, BES, is a Long Term Ecological Study funded by the National Science Foundation. Their goal is to conduct long term research at ecological sites in Baltimore City and the surrounding areas. They broaden the idea of ecology to not only focus on the natural world, but include the people and the cities they live in, to better understand their role in the environment. </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Dataset Variables</w:t>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 Oregon Ridge-calendar date sample was taken at Oregon Ridge site</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Rain (in)-measurement of rain in inches from Oregon Ridge site</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 Carroll Park-calendar date sample was taken at Carroll Park site</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Rain (in)-measurement of rain in inches from Carroll Park site </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Dataset Timeframe</w:t>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Data includes samples taken when precipitation occurs at the specific site.</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Dates range from October 1</w:t>
      </w:r>
      <w:r w:rsidDel="00000000" w:rsidR="00000000" w:rsidRPr="00000000">
        <w:rPr>
          <w:rFonts w:ascii="Times New Roman" w:cs="Times New Roman" w:eastAsia="Times New Roman" w:hAnsi="Times New Roman"/>
          <w:b w:val="0"/>
          <w:color w:val="000000"/>
          <w:sz w:val="24"/>
          <w:szCs w:val="24"/>
          <w:vertAlign w:val="superscript"/>
          <w:rtl w:val="0"/>
        </w:rPr>
        <w:t xml:space="preserve">st</w:t>
      </w:r>
      <w:r w:rsidDel="00000000" w:rsidR="00000000" w:rsidRPr="00000000">
        <w:rPr>
          <w:rFonts w:ascii="Times New Roman" w:cs="Times New Roman" w:eastAsia="Times New Roman" w:hAnsi="Times New Roman"/>
          <w:b w:val="0"/>
          <w:color w:val="000000"/>
          <w:sz w:val="24"/>
          <w:szCs w:val="24"/>
          <w:rtl w:val="0"/>
        </w:rPr>
        <w:t xml:space="preserve"> of 2010 until September 30</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of 2011.</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 Collection Methods</w:t>
      </w:r>
    </w:p>
    <w:p w:rsidR="00000000" w:rsidDel="00000000" w:rsidP="00000000" w:rsidRDefault="00000000" w:rsidRPr="00000000">
      <w:pPr>
        <w:numPr>
          <w:ilvl w:val="1"/>
          <w:numId w:val="1"/>
        </w:numPr>
        <w:spacing w:after="0" w:before="0" w:line="276"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Precipitation data is gathered by measurements taken </w:t>
      </w:r>
      <w:r w:rsidDel="00000000" w:rsidR="00000000" w:rsidRPr="00000000">
        <w:rPr>
          <w:rFonts w:ascii="Times New Roman" w:cs="Times New Roman" w:eastAsia="Times New Roman" w:hAnsi="Times New Roman"/>
          <w:sz w:val="24"/>
          <w:szCs w:val="24"/>
          <w:rtl w:val="0"/>
        </w:rPr>
        <w:t xml:space="preserve">with</w:t>
      </w:r>
      <w:r w:rsidDel="00000000" w:rsidR="00000000" w:rsidRPr="00000000">
        <w:rPr>
          <w:rFonts w:ascii="Times New Roman" w:cs="Times New Roman" w:eastAsia="Times New Roman" w:hAnsi="Times New Roman"/>
          <w:b w:val="0"/>
          <w:color w:val="000000"/>
          <w:sz w:val="24"/>
          <w:szCs w:val="24"/>
          <w:rtl w:val="0"/>
        </w:rPr>
        <w:t xml:space="preserve"> a rain gauge.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color w:val="000000"/>
          <w:sz w:val="24"/>
          <w:szCs w:val="24"/>
          <w:rtl w:val="0"/>
        </w:rPr>
        <w:t xml:space="preserve"> rain gauge consists of a tipping bucket that measures the rain that has fallen in that area. When the bucket collects 0.01 inches of water, it tips over, emptying the water into a bucket. The number of tips that occur is noted and the amount of rain is calculated. </w:t>
      </w:r>
    </w:p>
    <w:p w:rsidR="00000000" w:rsidDel="00000000" w:rsidP="00000000" w:rsidRDefault="00000000" w:rsidRPr="00000000">
      <w:pPr>
        <w:numPr>
          <w:ilvl w:val="0"/>
          <w:numId w:val="1"/>
        </w:numPr>
        <w:spacing w:after="0" w:before="0" w:line="276" w:lineRule="auto"/>
        <w:ind w:left="36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Information About Sites</w:t>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Baisman Run is located in Baltimore County in Oregon Ridge Park. The 381 hectare watershed is mostly forested with a small number of large residential properties at the top of the watershed.</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color w:val="000000"/>
          <w:sz w:val="24"/>
          <w:szCs w:val="24"/>
          <w:rtl w:val="0"/>
        </w:rPr>
        <w:t xml:space="preserve">Gwynns Falls at Carroll Park site is located in Baltimore City in the Carroll Park Municipal golf course. The watershed that drains into this par</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color w:val="000000"/>
          <w:sz w:val="24"/>
          <w:szCs w:val="24"/>
          <w:rtl w:val="0"/>
        </w:rPr>
        <w:t xml:space="preserve"> of the Gywnns Falls </w:t>
      </w:r>
      <w:r w:rsidDel="00000000" w:rsidR="00000000" w:rsidRPr="00000000">
        <w:rPr>
          <w:rFonts w:ascii="Times New Roman" w:cs="Times New Roman" w:eastAsia="Times New Roman" w:hAnsi="Times New Roman"/>
          <w:sz w:val="24"/>
          <w:szCs w:val="24"/>
          <w:rtl w:val="0"/>
        </w:rPr>
        <w:t xml:space="preserve">includes</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approximately</w:t>
      </w:r>
      <w:r w:rsidDel="00000000" w:rsidR="00000000" w:rsidRPr="00000000">
        <w:rPr>
          <w:rFonts w:ascii="Times New Roman" w:cs="Times New Roman" w:eastAsia="Times New Roman" w:hAnsi="Times New Roman"/>
          <w:b w:val="0"/>
          <w:color w:val="000000"/>
          <w:sz w:val="24"/>
          <w:szCs w:val="24"/>
          <w:rtl w:val="0"/>
        </w:rPr>
        <w:t xml:space="preserve"> 16,000 hectares and consists of urban and suburban land. The area surrounding the site is mostly developed.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drawing>
          <wp:inline distB="0" distT="0" distL="0" distR="0">
            <wp:extent cx="3823211" cy="3766987"/>
            <wp:effectExtent b="0" l="0" r="0" t="0"/>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3823211" cy="3766987"/>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Contact Person for Dataset</w:t>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Claire Welty, Director of Center for Urban Environmental Research and Education, Professor of Civil and Environmental Engineering UMBC</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Helvetica Neue" w:cs="Helvetica Neue" w:eastAsia="Helvetica Neue" w:hAnsi="Helvetica Neue"/>
          <w:b w:val="0"/>
          <w:color w:val="333333"/>
          <w:sz w:val="20"/>
          <w:szCs w:val="20"/>
          <w:highlight w:val="white"/>
          <w:rtl w:val="0"/>
        </w:rPr>
        <w:t xml:space="preserve"> (</w:t>
      </w:r>
      <w:r w:rsidDel="00000000" w:rsidR="00000000" w:rsidRPr="00000000">
        <w:rPr>
          <w:rFonts w:ascii="Times New Roman" w:cs="Times New Roman" w:eastAsia="Times New Roman" w:hAnsi="Times New Roman"/>
          <w:b w:val="0"/>
          <w:color w:val="333333"/>
          <w:sz w:val="24"/>
          <w:szCs w:val="24"/>
          <w:highlight w:val="white"/>
          <w:rtl w:val="0"/>
        </w:rPr>
        <w:t xml:space="preserve">410) 455-1766,</w:t>
      </w:r>
      <w:r w:rsidDel="00000000" w:rsidR="00000000" w:rsidRPr="00000000">
        <w:rPr>
          <w:rFonts w:ascii="Times New Roman" w:cs="Times New Roman" w:eastAsia="Times New Roman" w:hAnsi="Times New Roman"/>
          <w:b w:val="0"/>
          <w:color w:val="000000"/>
          <w:sz w:val="32"/>
          <w:szCs w:val="32"/>
          <w:rtl w:val="0"/>
        </w:rPr>
        <w:t xml:space="preserve"> </w:t>
      </w:r>
      <w:hyperlink r:id="rId7">
        <w:r w:rsidDel="00000000" w:rsidR="00000000" w:rsidRPr="00000000">
          <w:rPr>
            <w:rFonts w:ascii="Times New Roman" w:cs="Times New Roman" w:eastAsia="Times New Roman" w:hAnsi="Times New Roman"/>
            <w:b w:val="0"/>
            <w:color w:val="2e75b5"/>
            <w:sz w:val="24"/>
            <w:szCs w:val="24"/>
            <w:highlight w:val="white"/>
            <w:u w:val="single"/>
            <w:rtl w:val="0"/>
          </w:rPr>
          <w:t xml:space="preserve">weltyc@umbc.edu</w:t>
        </w:r>
      </w:hyperlink>
      <w:hyperlink r:id="rId8">
        <w:r w:rsidDel="00000000" w:rsidR="00000000" w:rsidRPr="00000000">
          <w:rPr>
            <w:rtl w:val="0"/>
          </w:rPr>
        </w:r>
      </w:hyperlink>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Web information at: </w:t>
      </w:r>
      <w:hyperlink r:id="rId9">
        <w:r w:rsidDel="00000000" w:rsidR="00000000" w:rsidRPr="00000000">
          <w:rPr>
            <w:rFonts w:ascii="Times New Roman" w:cs="Times New Roman" w:eastAsia="Times New Roman" w:hAnsi="Times New Roman"/>
            <w:b w:val="0"/>
            <w:color w:val="0563c1"/>
            <w:sz w:val="24"/>
            <w:szCs w:val="24"/>
            <w:u w:val="single"/>
            <w:rtl w:val="0"/>
          </w:rPr>
          <w:t xml:space="preserve">http://userpages.umbc.edu/~weltyc/</w:t>
        </w:r>
      </w:hyperlink>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pPr>
        <w:numPr>
          <w:ilvl w:val="1"/>
          <w:numId w:val="1"/>
        </w:numPr>
        <w:spacing w:after="0" w:before="0" w:line="276"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Research interests include </w:t>
      </w:r>
      <w:r w:rsidDel="00000000" w:rsidR="00000000" w:rsidRPr="00000000">
        <w:rPr>
          <w:rFonts w:ascii="Times New Roman" w:cs="Times New Roman" w:eastAsia="Times New Roman" w:hAnsi="Times New Roman"/>
          <w:sz w:val="24"/>
          <w:szCs w:val="24"/>
          <w:rtl w:val="0"/>
        </w:rPr>
        <w:t xml:space="preserve">how to measure and predict the </w:t>
      </w:r>
      <w:r w:rsidDel="00000000" w:rsidR="00000000" w:rsidRPr="00000000">
        <w:rPr>
          <w:rFonts w:ascii="Times New Roman" w:cs="Times New Roman" w:eastAsia="Times New Roman" w:hAnsi="Times New Roman"/>
          <w:b w:val="0"/>
          <w:color w:val="000000"/>
          <w:sz w:val="24"/>
          <w:szCs w:val="24"/>
          <w:rtl w:val="0"/>
        </w:rPr>
        <w:t xml:space="preserve">urban hydrologic cycle from small to regional scales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Background Information</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sz w:val="24"/>
          <w:szCs w:val="24"/>
          <w:rtl w:val="0"/>
        </w:rPr>
        <w:t xml:space="preserve">On average, Maryland experiences 40 inches of rain per year.  Rainfall “peaks in</w:t>
      </w:r>
      <w:r w:rsidDel="00000000" w:rsidR="00000000" w:rsidRPr="00000000">
        <w:rPr>
          <w:rFonts w:ascii="Times New Roman" w:cs="Times New Roman" w:eastAsia="Times New Roman" w:hAnsi="Times New Roman"/>
          <w:b w:val="0"/>
          <w:color w:val="000000"/>
          <w:sz w:val="24"/>
          <w:szCs w:val="24"/>
          <w:rtl w:val="0"/>
        </w:rPr>
        <w:t xml:space="preserve"> July and August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due to the increase in thunderstorms and the heavy rains they bring </w:t>
      </w:r>
      <w:r w:rsidDel="00000000" w:rsidR="00000000" w:rsidRPr="00000000">
        <w:rPr>
          <w:rFonts w:ascii="Times New Roman" w:cs="Times New Roman" w:eastAsia="Times New Roman" w:hAnsi="Times New Roman"/>
          <w:sz w:val="24"/>
          <w:szCs w:val="24"/>
          <w:rtl w:val="0"/>
        </w:rPr>
        <w:t xml:space="preserve">(Maryland at a Glance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Large u</w:t>
      </w:r>
      <w:r w:rsidDel="00000000" w:rsidR="00000000" w:rsidRPr="00000000">
        <w:rPr>
          <w:rFonts w:ascii="Times New Roman" w:cs="Times New Roman" w:eastAsia="Times New Roman" w:hAnsi="Times New Roman"/>
          <w:b w:val="0"/>
          <w:color w:val="000000"/>
          <w:sz w:val="24"/>
          <w:szCs w:val="24"/>
          <w:rtl w:val="0"/>
        </w:rPr>
        <w:t xml:space="preserve">rban environments can potentially help aid the formation of thunderstorms,</w:t>
      </w:r>
      <w:r w:rsidDel="00000000" w:rsidR="00000000" w:rsidRPr="00000000">
        <w:rPr>
          <w:rFonts w:ascii="Times New Roman" w:cs="Times New Roman" w:eastAsia="Times New Roman" w:hAnsi="Times New Roman"/>
          <w:b w:val="0"/>
          <w:color w:val="000000"/>
          <w:sz w:val="24"/>
          <w:szCs w:val="24"/>
          <w:rtl w:val="0"/>
        </w:rPr>
        <w:t xml:space="preserve"> due to the warmer air that encompasses them, contributing to higher rainfall amounts</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Link to Maryland State Curriculum</w:t>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six</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B, Indicator 1</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seven</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A, Indicator 1</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eight</w:t>
      </w:r>
      <w:r w:rsidDel="00000000" w:rsidR="00000000" w:rsidRPr="00000000">
        <w:rPr>
          <w:rtl w:val="0"/>
        </w:rPr>
      </w:r>
    </w:p>
    <w:p w:rsidR="00000000" w:rsidDel="00000000" w:rsidP="00000000" w:rsidRDefault="00000000" w:rsidRPr="00000000">
      <w:pPr>
        <w:numPr>
          <w:ilvl w:val="2"/>
          <w:numId w:val="1"/>
        </w:numPr>
        <w:spacing w:after="0" w:before="0" w:line="276" w:lineRule="auto"/>
        <w:ind w:left="108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p>
    <w:p w:rsidR="00000000" w:rsidDel="00000000" w:rsidP="00000000" w:rsidRDefault="00000000" w:rsidRPr="00000000">
      <w:pPr>
        <w:numPr>
          <w:ilvl w:val="2"/>
          <w:numId w:val="1"/>
        </w:numPr>
        <w:spacing w:after="0" w:before="0" w:line="276" w:lineRule="auto"/>
        <w:ind w:left="108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2.0, Topic E, Indicators 1 &amp;3.</w:t>
      </w:r>
    </w:p>
    <w:p w:rsidR="00000000" w:rsidDel="00000000" w:rsidP="00000000" w:rsidRDefault="00000000" w:rsidRPr="00000000">
      <w:pPr>
        <w:numPr>
          <w:ilvl w:val="2"/>
          <w:numId w:val="1"/>
        </w:numPr>
        <w:spacing w:after="0" w:before="0" w:line="276" w:lineRule="auto"/>
        <w:ind w:left="108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6.0, Topic B, Indicator 1</w:t>
      </w:r>
    </w:p>
    <w:p w:rsidR="00000000" w:rsidDel="00000000" w:rsidP="00000000" w:rsidRDefault="00000000" w:rsidRPr="00000000">
      <w:pPr>
        <w:numPr>
          <w:ilvl w:val="0"/>
          <w:numId w:val="1"/>
        </w:numPr>
        <w:spacing w:after="0" w:before="0" w:line="276" w:lineRule="auto"/>
        <w:ind w:left="36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Inquiry Idea Starters</w:t>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What causes the data to spike on certain days? </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Are there any trends? Monthly/Seasonal?</w:t>
      </w:r>
      <w:r w:rsidDel="00000000" w:rsidR="00000000" w:rsidRPr="00000000">
        <w:rPr>
          <w:rtl w:val="0"/>
        </w:rPr>
      </w:r>
    </w:p>
    <w:p w:rsidR="00000000" w:rsidDel="00000000" w:rsidP="00000000" w:rsidRDefault="00000000" w:rsidRPr="00000000">
      <w:pPr>
        <w:numPr>
          <w:ilvl w:val="1"/>
          <w:numId w:val="1"/>
        </w:numPr>
        <w:spacing w:after="0" w:before="0" w:line="276"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How do the two sites compare? Does one site get more/less water than the other?  Why?</w:t>
      </w: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Additional Resources</w:t>
      </w:r>
    </w:p>
    <w:p w:rsidR="00000000" w:rsidDel="00000000" w:rsidP="00000000" w:rsidRDefault="00000000" w:rsidRPr="00000000">
      <w:pPr>
        <w:numPr>
          <w:ilvl w:val="1"/>
          <w:numId w:val="1"/>
        </w:numPr>
        <w:spacing w:after="0" w:before="0" w:line="276" w:lineRule="auto"/>
        <w:ind w:left="720" w:hanging="360"/>
        <w:contextualSpacing w:val="1"/>
        <w:rPr>
          <w:b w:val="0"/>
          <w:color w:val="000000"/>
          <w:sz w:val="24"/>
          <w:szCs w:val="24"/>
        </w:rPr>
      </w:pPr>
      <w:hyperlink r:id="rId10">
        <w:r w:rsidDel="00000000" w:rsidR="00000000" w:rsidRPr="00000000">
          <w:rPr>
            <w:rFonts w:ascii="Times New Roman" w:cs="Times New Roman" w:eastAsia="Times New Roman" w:hAnsi="Times New Roman"/>
            <w:b w:val="0"/>
            <w:color w:val="0563c1"/>
            <w:sz w:val="24"/>
            <w:szCs w:val="24"/>
            <w:u w:val="single"/>
            <w:rtl w:val="0"/>
          </w:rPr>
          <w:t xml:space="preserve">http://earthobservatory.nasa.gov/Features/UrbanRain/urbanrain3.php</w:t>
        </w:r>
      </w:hyperlink>
      <w:hyperlink r:id="rId11">
        <w:r w:rsidDel="00000000" w:rsidR="00000000" w:rsidRPr="00000000">
          <w:rPr>
            <w:rtl w:val="0"/>
          </w:rPr>
        </w:r>
      </w:hyperlink>
    </w:p>
    <w:p w:rsidR="00000000" w:rsidDel="00000000" w:rsidP="00000000" w:rsidRDefault="00000000" w:rsidRPr="00000000">
      <w:pPr>
        <w:numPr>
          <w:ilvl w:val="2"/>
          <w:numId w:val="1"/>
        </w:numPr>
        <w:spacing w:after="0" w:before="0" w:line="276" w:lineRule="auto"/>
        <w:ind w:left="108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NASA describes how rain events differ when forming over an urban area. </w:t>
      </w:r>
    </w:p>
    <w:p w:rsidR="00000000" w:rsidDel="00000000" w:rsidP="00000000" w:rsidRDefault="00000000" w:rsidRPr="00000000">
      <w:pPr>
        <w:numPr>
          <w:ilvl w:val="1"/>
          <w:numId w:val="1"/>
        </w:numPr>
        <w:spacing w:after="0" w:before="0" w:line="276" w:lineRule="auto"/>
        <w:ind w:left="720" w:hanging="360"/>
        <w:contextualSpacing w:val="1"/>
        <w:rPr>
          <w:b w:val="0"/>
          <w:color w:val="000000"/>
          <w:sz w:val="24"/>
          <w:szCs w:val="24"/>
        </w:rPr>
      </w:pPr>
      <w:hyperlink r:id="rId12">
        <w:r w:rsidDel="00000000" w:rsidR="00000000" w:rsidRPr="00000000">
          <w:rPr>
            <w:rFonts w:ascii="Times New Roman" w:cs="Times New Roman" w:eastAsia="Times New Roman" w:hAnsi="Times New Roman"/>
            <w:b w:val="0"/>
            <w:color w:val="0563c1"/>
            <w:sz w:val="24"/>
            <w:szCs w:val="24"/>
            <w:u w:val="single"/>
            <w:rtl w:val="0"/>
          </w:rPr>
          <w:t xml:space="preserve">http://earthobservatory.nasa.gov/Features/UrbanRain/urbanrain3.php</w:t>
        </w:r>
      </w:hyperlink>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numPr>
          <w:ilvl w:val="2"/>
          <w:numId w:val="1"/>
        </w:numPr>
        <w:spacing w:after="0" w:before="0" w:line="276" w:lineRule="auto"/>
        <w:ind w:left="108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Northern Illinois University explains how cities could be creating more thunderstorms than rural areas.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Sources </w:t>
      </w:r>
    </w:p>
    <w:p w:rsidR="00000000" w:rsidDel="00000000" w:rsidP="00000000" w:rsidRDefault="00000000" w:rsidRPr="00000000">
      <w:pPr>
        <w:spacing w:after="0" w:before="0" w:line="276" w:lineRule="auto"/>
        <w:ind w:left="720" w:hanging="720"/>
        <w:contextualSpacing w:val="0"/>
      </w:pPr>
      <w:r w:rsidDel="00000000" w:rsidR="00000000" w:rsidRPr="00000000">
        <w:rPr>
          <w:rFonts w:ascii="Times New Roman" w:cs="Times New Roman" w:eastAsia="Times New Roman" w:hAnsi="Times New Roman"/>
          <w:b w:val="0"/>
          <w:color w:val="000000"/>
          <w:sz w:val="24"/>
          <w:szCs w:val="24"/>
          <w:rtl w:val="0"/>
        </w:rPr>
        <w:t xml:space="preserve">Gywnns Falls, Carroll Park. </w:t>
      </w:r>
      <w:r w:rsidDel="00000000" w:rsidR="00000000" w:rsidRPr="00000000">
        <w:rPr>
          <w:rFonts w:ascii="Times New Roman" w:cs="Times New Roman" w:eastAsia="Times New Roman" w:hAnsi="Times New Roman"/>
          <w:b w:val="0"/>
          <w:i w:val="1"/>
          <w:color w:val="000000"/>
          <w:sz w:val="24"/>
          <w:szCs w:val="24"/>
          <w:rtl w:val="0"/>
        </w:rPr>
        <w:t xml:space="preserve">Baltimore Ecosystem Study. </w:t>
      </w:r>
      <w:r w:rsidDel="00000000" w:rsidR="00000000" w:rsidRPr="00000000">
        <w:rPr>
          <w:rFonts w:ascii="Times New Roman" w:cs="Times New Roman" w:eastAsia="Times New Roman" w:hAnsi="Times New Roman"/>
          <w:b w:val="0"/>
          <w:color w:val="000000"/>
          <w:sz w:val="24"/>
          <w:szCs w:val="24"/>
          <w:rtl w:val="0"/>
        </w:rPr>
        <w:t xml:space="preserve">Accessed July 28, 2016. </w:t>
      </w:r>
      <w:hyperlink r:id="rId13">
        <w:r w:rsidDel="00000000" w:rsidR="00000000" w:rsidRPr="00000000">
          <w:rPr>
            <w:rFonts w:ascii="Times New Roman" w:cs="Times New Roman" w:eastAsia="Times New Roman" w:hAnsi="Times New Roman"/>
            <w:b w:val="0"/>
            <w:color w:val="0563c1"/>
            <w:sz w:val="24"/>
            <w:szCs w:val="24"/>
            <w:u w:val="single"/>
            <w:rtl w:val="0"/>
          </w:rPr>
          <w:t xml:space="preserve">http://www.beslter.org/virtual_tour/GFCP.html</w:t>
        </w:r>
      </w:hyperlink>
      <w:r w:rsidDel="00000000" w:rsidR="00000000" w:rsidRPr="00000000">
        <w:rPr>
          <w:rFonts w:ascii="Times New Roman" w:cs="Times New Roman" w:eastAsia="Times New Roman" w:hAnsi="Times New Roman"/>
          <w:b w:val="0"/>
          <w:color w:val="0563c1"/>
          <w:sz w:val="24"/>
          <w:szCs w:val="24"/>
          <w:u w:val="single"/>
          <w:rtl w:val="0"/>
        </w:rPr>
        <w:t xml:space="preserve"> </w:t>
      </w:r>
      <w:r w:rsidDel="00000000" w:rsidR="00000000" w:rsidRPr="00000000">
        <w:rPr>
          <w:rtl w:val="0"/>
        </w:rPr>
      </w:r>
    </w:p>
    <w:p w:rsidR="00000000" w:rsidDel="00000000" w:rsidP="00000000" w:rsidRDefault="00000000" w:rsidRPr="00000000">
      <w:pPr>
        <w:spacing w:after="0" w:before="0" w:line="276" w:lineRule="auto"/>
        <w:ind w:left="720" w:hanging="720"/>
        <w:contextualSpacing w:val="0"/>
      </w:pPr>
      <w:r w:rsidDel="00000000" w:rsidR="00000000" w:rsidRPr="00000000">
        <w:rPr>
          <w:rFonts w:ascii="Times New Roman" w:cs="Times New Roman" w:eastAsia="Times New Roman" w:hAnsi="Times New Roman"/>
          <w:b w:val="0"/>
          <w:color w:val="0563c1"/>
          <w:sz w:val="24"/>
          <w:szCs w:val="24"/>
          <w:u w:val="none"/>
          <w:rtl w:val="0"/>
        </w:rPr>
        <w:t xml:space="preserve">The Tipping Bucket Rain Gauge. </w:t>
      </w:r>
      <w:r w:rsidDel="00000000" w:rsidR="00000000" w:rsidRPr="00000000">
        <w:rPr>
          <w:rFonts w:ascii="Times New Roman" w:cs="Times New Roman" w:eastAsia="Times New Roman" w:hAnsi="Times New Roman"/>
          <w:b w:val="0"/>
          <w:i w:val="1"/>
          <w:color w:val="0563c1"/>
          <w:sz w:val="24"/>
          <w:szCs w:val="24"/>
          <w:u w:val="none"/>
          <w:rtl w:val="0"/>
        </w:rPr>
        <w:t xml:space="preserve">National Oceanic and Atmospheric Association. </w:t>
      </w:r>
      <w:r w:rsidDel="00000000" w:rsidR="00000000" w:rsidRPr="00000000">
        <w:rPr>
          <w:rFonts w:ascii="Times New Roman" w:cs="Times New Roman" w:eastAsia="Times New Roman" w:hAnsi="Times New Roman"/>
          <w:b w:val="0"/>
          <w:color w:val="000000"/>
          <w:sz w:val="24"/>
          <w:szCs w:val="24"/>
          <w:rtl w:val="0"/>
        </w:rPr>
        <w:t xml:space="preserve">Accessed July 30, 2016. </w:t>
      </w:r>
      <w:hyperlink r:id="rId14">
        <w:r w:rsidDel="00000000" w:rsidR="00000000" w:rsidRPr="00000000">
          <w:rPr>
            <w:rFonts w:ascii="Times New Roman" w:cs="Times New Roman" w:eastAsia="Times New Roman" w:hAnsi="Times New Roman"/>
            <w:b w:val="0"/>
            <w:color w:val="0563c1"/>
            <w:sz w:val="24"/>
            <w:szCs w:val="24"/>
            <w:u w:val="single"/>
            <w:rtl w:val="0"/>
          </w:rPr>
          <w:t xml:space="preserve">http://www.nws.noaa.gov/asos/tipbuck.htm</w:t>
        </w:r>
      </w:hyperlink>
      <w:hyperlink r:id="rId15">
        <w:r w:rsidDel="00000000" w:rsidR="00000000" w:rsidRPr="00000000">
          <w:rPr>
            <w:rtl w:val="0"/>
          </w:rPr>
        </w:r>
      </w:hyperlink>
    </w:p>
    <w:p w:rsidR="00000000" w:rsidDel="00000000" w:rsidP="00000000" w:rsidRDefault="00000000" w:rsidRPr="00000000">
      <w:pPr>
        <w:spacing w:after="0" w:before="0" w:line="276" w:lineRule="auto"/>
        <w:ind w:left="720" w:hanging="720"/>
        <w:contextualSpacing w:val="0"/>
      </w:pPr>
      <w:r w:rsidDel="00000000" w:rsidR="00000000" w:rsidRPr="00000000">
        <w:rPr>
          <w:rFonts w:ascii="Times New Roman" w:cs="Times New Roman" w:eastAsia="Times New Roman" w:hAnsi="Times New Roman"/>
          <w:b w:val="0"/>
          <w:color w:val="0563c1"/>
          <w:sz w:val="24"/>
          <w:szCs w:val="24"/>
          <w:u w:val="none"/>
          <w:rtl w:val="0"/>
        </w:rPr>
        <w:t xml:space="preserve">Maryland at a Glance.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0"/>
          <w:i w:val="1"/>
          <w:color w:val="000000"/>
          <w:sz w:val="24"/>
          <w:szCs w:val="24"/>
          <w:rtl w:val="0"/>
        </w:rPr>
        <w:t xml:space="preserve">Maryland.gov.</w:t>
      </w:r>
      <w:r w:rsidDel="00000000" w:rsidR="00000000" w:rsidRPr="00000000">
        <w:rPr>
          <w:rFonts w:ascii="Times New Roman" w:cs="Times New Roman" w:eastAsia="Times New Roman" w:hAnsi="Times New Roman"/>
          <w:b w:val="0"/>
          <w:color w:val="000000"/>
          <w:sz w:val="24"/>
          <w:szCs w:val="24"/>
          <w:rtl w:val="0"/>
        </w:rPr>
        <w:t xml:space="preserve"> Accessed August 1 , 2016. </w:t>
      </w:r>
      <w:hyperlink r:id="rId16">
        <w:r w:rsidDel="00000000" w:rsidR="00000000" w:rsidRPr="00000000">
          <w:rPr>
            <w:rFonts w:ascii="Times New Roman" w:cs="Times New Roman" w:eastAsia="Times New Roman" w:hAnsi="Times New Roman"/>
            <w:b w:val="0"/>
            <w:color w:val="0563c1"/>
            <w:sz w:val="24"/>
            <w:szCs w:val="24"/>
            <w:u w:val="single"/>
            <w:rtl w:val="0"/>
          </w:rPr>
          <w:t xml:space="preserve">http://msa.maryland.gov/msa/mdmanual/01glance/html/weather.html</w:t>
        </w:r>
      </w:hyperlink>
      <w:r w:rsidDel="00000000" w:rsidR="00000000" w:rsidRPr="00000000">
        <w:rPr>
          <w:rFonts w:ascii="Times New Roman" w:cs="Times New Roman" w:eastAsia="Times New Roman" w:hAnsi="Times New Roman"/>
          <w:b w:val="0"/>
          <w:color w:val="000000"/>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earthobservatory.nasa.gov/Features/UrbanRain/urbanrain3.php" TargetMode="External"/><Relationship Id="rId10" Type="http://schemas.openxmlformats.org/officeDocument/2006/relationships/hyperlink" Target="http://earthobservatory.nasa.gov/Features/UrbanRain/urbanrain3.php" TargetMode="External"/><Relationship Id="rId13" Type="http://schemas.openxmlformats.org/officeDocument/2006/relationships/hyperlink" Target="http://www.beslter.org/virtual_tour/GFCP.html" TargetMode="External"/><Relationship Id="rId12" Type="http://schemas.openxmlformats.org/officeDocument/2006/relationships/hyperlink" Target="http://earthobservatory.nasa.gov/Features/UrbanRain/urbanrain3.php"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userpages.umbc.edu/~weltyc/" TargetMode="External"/><Relationship Id="rId15" Type="http://schemas.openxmlformats.org/officeDocument/2006/relationships/hyperlink" Target="http://www.nws.noaa.gov/asos/tipbuck.htm" TargetMode="External"/><Relationship Id="rId14" Type="http://schemas.openxmlformats.org/officeDocument/2006/relationships/hyperlink" Target="http://www.nws.noaa.gov/asos/tipbuck.htm" TargetMode="External"/><Relationship Id="rId16" Type="http://schemas.openxmlformats.org/officeDocument/2006/relationships/hyperlink" Target="http://msa.maryland.gov/msa/mdmanual/01glance/html/weather.html" TargetMode="Externa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hyperlink" Target="mailto:weltyc@umbc.edu" TargetMode="External"/><Relationship Id="rId8" Type="http://schemas.openxmlformats.org/officeDocument/2006/relationships/hyperlink" Target="mailto:weltyc@umb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