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762000" cy="762000"/>
            <wp:effectExtent b="0" l="0" r="0" t="0"/>
            <wp:docPr descr="http://beslter.org/images/data-jam/logo-2-copy.jpg" id="1" name="image01.jpg"/>
            <a:graphic>
              <a:graphicData uri="http://schemas.openxmlformats.org/drawingml/2006/picture">
                <pic:pic>
                  <pic:nvPicPr>
                    <pic:cNvPr descr="http://beslter.org/images/data-jam/logo-2-copy.jpg" id="0" name="image01.jpg"/>
                    <pic:cNvPicPr preferRelativeResize="0"/>
                  </pic:nvPicPr>
                  <pic:blipFill>
                    <a:blip r:embed="rId5"/>
                    <a:srcRect b="0" l="0" r="0" t="0"/>
                    <a:stretch>
                      <a:fillRect/>
                    </a:stretch>
                  </pic:blipFill>
                  <pic:spPr>
                    <a:xfrm>
                      <a:off x="0" y="0"/>
                      <a:ext cx="762000" cy="762000"/>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Baltimore Data Jam: Nitrate </w:t>
      </w:r>
      <w:r w:rsidDel="00000000" w:rsidR="00000000" w:rsidRPr="00000000">
        <w:rPr>
          <w:rFonts w:ascii="Times New Roman" w:cs="Times New Roman" w:eastAsia="Times New Roman" w:hAnsi="Times New Roman"/>
          <w:sz w:val="36"/>
          <w:szCs w:val="36"/>
          <w:rtl w:val="0"/>
        </w:rPr>
        <w:t xml:space="preserve">Metadata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Baltimore Ecosystem Study, BES, is a Long Term Ecological Study funded by the National Science Foundation. Their goal is to conduct long term research at ecological sites in Baltimore City and the surrounding areas. They broaden the idea of ecology to not only focus on the natural world, but include the people and the cities they live in, to better understand their role in the environment.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Variables:</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Site-location of sampling site</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 – calendar date sample was taken</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DOY – Day of the Year (January 1 = 1, etc.)</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NO3 (mg N/L)- </w:t>
      </w:r>
      <w:r w:rsidDel="00000000" w:rsidR="00000000" w:rsidRPr="00000000">
        <w:rPr>
          <w:rFonts w:ascii="Times New Roman" w:cs="Times New Roman" w:eastAsia="Times New Roman" w:hAnsi="Times New Roman"/>
          <w:sz w:val="24"/>
          <w:szCs w:val="24"/>
          <w:rtl w:val="0"/>
        </w:rPr>
        <w:t xml:space="preserve">Nitrate </w:t>
      </w:r>
      <w:r w:rsidDel="00000000" w:rsidR="00000000" w:rsidRPr="00000000">
        <w:rPr>
          <w:rFonts w:ascii="Times New Roman" w:cs="Times New Roman" w:eastAsia="Times New Roman" w:hAnsi="Times New Roman"/>
          <w:b w:val="0"/>
          <w:color w:val="000000"/>
          <w:sz w:val="24"/>
          <w:szCs w:val="24"/>
          <w:rtl w:val="0"/>
        </w:rPr>
        <w:t xml:space="preserve">concentration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Timeframe: </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Dataset includes weekly samples for the year 2014.</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Additional data is available for these and other sites for more than 15 years, starting in 1998.</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data were published 4/5/16.</w:t>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 Collection Methods:</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Samples were collected by BES staff with clean plastic bottles from the same location in each stream every </w:t>
      </w:r>
      <w:r w:rsidDel="00000000" w:rsidR="00000000" w:rsidRPr="00000000">
        <w:rPr>
          <w:rFonts w:ascii="Times New Roman" w:cs="Times New Roman" w:eastAsia="Times New Roman" w:hAnsi="Times New Roman"/>
          <w:b w:val="0"/>
          <w:color w:val="000000"/>
          <w:sz w:val="24"/>
          <w:szCs w:val="24"/>
          <w:rtl w:val="0"/>
        </w:rPr>
        <w:t xml:space="preserve">week</w:t>
      </w:r>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 concentrations were measured in the laboratories of the Cary Institute.</w:t>
      </w:r>
    </w:p>
    <w:p w:rsidR="00000000" w:rsidDel="00000000" w:rsidP="00000000" w:rsidRDefault="00000000" w:rsidRPr="00000000">
      <w:pPr>
        <w:numPr>
          <w:ilvl w:val="0"/>
          <w:numId w:val="1"/>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Information About Sites </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Baisman Run is located in Baltimore County in Oregon Ridge Park. The 381 hectare watershed is mostly forested with a small number of large residential properties at the top of the watershed. The stream gauge is located at Ivy Hill Road underneath the bridge.</w:t>
      </w:r>
    </w:p>
    <w:p w:rsidR="00000000" w:rsidDel="00000000" w:rsidP="00000000" w:rsidRDefault="00000000" w:rsidRPr="00000000">
      <w:pPr>
        <w:numPr>
          <w:ilvl w:val="1"/>
          <w:numId w:val="1"/>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sz w:val="24"/>
          <w:szCs w:val="24"/>
          <w:rtl w:val="0"/>
        </w:rPr>
        <w:t xml:space="preserve">Gwynns Run a</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Gwynns Falls sample site is located in Carroll Park. Carroll Park is located in Baltimore City in the Carroll Park Municipal golf course. The watershed is approximately 2.5 square miles and is considered an urban subwatershed. Denitrification efforts have taken place to help improve the the quality of the stream.   </w:t>
      </w:r>
      <w:r w:rsidDel="00000000" w:rsidR="00000000" w:rsidRPr="00000000">
        <w:rPr>
          <w:rFonts w:ascii="Times New Roman" w:cs="Times New Roman" w:eastAsia="Times New Roman" w:hAnsi="Times New Roman"/>
          <w:b w:val="0"/>
          <w:color w:val="000000"/>
          <w:sz w:val="24"/>
          <w:szCs w:val="24"/>
          <w:rtl w:val="0"/>
        </w:rPr>
        <w:tab/>
      </w:r>
    </w:p>
    <w:p w:rsidR="00000000" w:rsidDel="00000000" w:rsidP="00000000" w:rsidRDefault="00000000" w:rsidRPr="00000000">
      <w:pPr>
        <w:spacing w:after="0" w:line="276" w:lineRule="auto"/>
        <w:ind w:left="720" w:firstLine="0"/>
        <w:contextualSpacing w:val="0"/>
      </w:pPr>
      <w:r w:rsidDel="00000000" w:rsidR="00000000" w:rsidRPr="00000000">
        <w:drawing>
          <wp:inline distB="114300" distT="114300" distL="114300" distR="114300">
            <wp:extent cx="4943475" cy="3771900"/>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943475" cy="37719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Contact Person for Dataset: </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Dr. Peter Groffman, BES Co-Principal Investigator, (845) 677-7600 x128, </w:t>
      </w:r>
      <w:hyperlink r:id="rId7">
        <w:r w:rsidDel="00000000" w:rsidR="00000000" w:rsidRPr="00000000">
          <w:rPr>
            <w:rFonts w:ascii="Times New Roman" w:cs="Times New Roman" w:eastAsia="Times New Roman" w:hAnsi="Times New Roman"/>
            <w:b w:val="0"/>
            <w:color w:val="0563c1"/>
            <w:sz w:val="24"/>
            <w:szCs w:val="24"/>
            <w:u w:val="single"/>
            <w:rtl w:val="0"/>
          </w:rPr>
          <w:t xml:space="preserve">groffmanp@caryinstitute.org</w:t>
        </w:r>
      </w:hyperlink>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Web information at: </w:t>
      </w:r>
      <w:hyperlink r:id="rId8">
        <w:r w:rsidDel="00000000" w:rsidR="00000000" w:rsidRPr="00000000">
          <w:rPr>
            <w:rFonts w:ascii="Times New Roman" w:cs="Times New Roman" w:eastAsia="Times New Roman" w:hAnsi="Times New Roman"/>
            <w:b w:val="0"/>
            <w:color w:val="0563c1"/>
            <w:sz w:val="24"/>
            <w:szCs w:val="24"/>
            <w:u w:val="single"/>
            <w:rtl w:val="0"/>
          </w:rPr>
          <w:t xml:space="preserve">http://www.caryinstitute.org/science-program/our-scientists/dr-peter-m-roffman</w:t>
        </w:r>
      </w:hyperlink>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1"/>
          <w:numId w:val="2"/>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Groffman specializes in soil ecology and water quality. His research focuses on the role of microorganisms in ecosystems, microbial processes, and nutrient cycling within the environment.</w:t>
      </w: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 Information </w:t>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Increased nitrate concentrations in streams can be linked to human activity and natural processes. Runoff from lawns and agricultur</w:t>
      </w:r>
      <w:r w:rsidDel="00000000" w:rsidR="00000000" w:rsidRPr="00000000">
        <w:rPr>
          <w:rFonts w:ascii="Times New Roman" w:cs="Times New Roman" w:eastAsia="Times New Roman" w:hAnsi="Times New Roman"/>
          <w:sz w:val="24"/>
          <w:szCs w:val="24"/>
          <w:rtl w:val="0"/>
        </w:rPr>
        <w:t xml:space="preserve">al</w:t>
      </w:r>
      <w:r w:rsidDel="00000000" w:rsidR="00000000" w:rsidRPr="00000000">
        <w:rPr>
          <w:rFonts w:ascii="Times New Roman" w:cs="Times New Roman" w:eastAsia="Times New Roman" w:hAnsi="Times New Roman"/>
          <w:b w:val="0"/>
          <w:color w:val="000000"/>
          <w:sz w:val="24"/>
          <w:szCs w:val="24"/>
          <w:rtl w:val="0"/>
        </w:rPr>
        <w:t xml:space="preserve"> land carr</w:t>
      </w:r>
      <w:r w:rsidDel="00000000" w:rsidR="00000000" w:rsidRPr="00000000">
        <w:rPr>
          <w:rFonts w:ascii="Times New Roman" w:cs="Times New Roman" w:eastAsia="Times New Roman" w:hAnsi="Times New Roman"/>
          <w:sz w:val="24"/>
          <w:szCs w:val="24"/>
          <w:rtl w:val="0"/>
        </w:rPr>
        <w:t xml:space="preserve">ies</w:t>
      </w:r>
      <w:r w:rsidDel="00000000" w:rsidR="00000000" w:rsidRPr="00000000">
        <w:rPr>
          <w:rFonts w:ascii="Times New Roman" w:cs="Times New Roman" w:eastAsia="Times New Roman" w:hAnsi="Times New Roman"/>
          <w:b w:val="0"/>
          <w:color w:val="000000"/>
          <w:sz w:val="24"/>
          <w:szCs w:val="24"/>
          <w:rtl w:val="0"/>
        </w:rPr>
        <w:t xml:space="preserve"> fertilizer, which contains nitrates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color w:val="000000"/>
          <w:sz w:val="24"/>
          <w:szCs w:val="24"/>
          <w:rtl w:val="0"/>
        </w:rPr>
        <w:t xml:space="preserve">eaking sewer pipes can also introduce nitrate into nearby water s</w:t>
      </w:r>
      <w:r w:rsidDel="00000000" w:rsidR="00000000" w:rsidRPr="00000000">
        <w:rPr>
          <w:rFonts w:ascii="Times New Roman" w:cs="Times New Roman" w:eastAsia="Times New Roman" w:hAnsi="Times New Roman"/>
          <w:b w:val="0"/>
          <w:color w:val="000000"/>
          <w:sz w:val="24"/>
          <w:szCs w:val="24"/>
          <w:rtl w:val="0"/>
        </w:rPr>
        <w:t xml:space="preserve">ources</w:t>
      </w:r>
      <w:r w:rsidDel="00000000" w:rsidR="00000000" w:rsidRPr="00000000">
        <w:rPr>
          <w:rFonts w:ascii="Times New Roman" w:cs="Times New Roman" w:eastAsia="Times New Roman" w:hAnsi="Times New Roman"/>
          <w:b w:val="0"/>
          <w:color w:val="000000"/>
          <w:sz w:val="24"/>
          <w:szCs w:val="24"/>
          <w:rtl w:val="0"/>
        </w:rPr>
        <w:t xml:space="preserve">. The decomposition of plants and animals also releases nitrate that can enter the stream through runoff. Agriculture is the biggest source of nitrate that ends up in waterways. Since most nitrate enters the stream through nonpoint sources, meaning the contaminant enters the area through runoff or another indirect way, they are hard to control and regulate. This makes nonpoint sources the biggest contributor of nitrate pollution in streams.  Nitrate levels are the lowest during the growing season, late spring and summer, when plants take up the nutrients in the soil, including nitrate, preventing it from entering streams. During the winter, when plants are dormant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nitrate concentrations are higher.. </w:t>
      </w: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Link to Maryland State Curriculum </w:t>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six</w:t>
      </w:r>
      <w:r w:rsidDel="00000000" w:rsidR="00000000" w:rsidRPr="00000000">
        <w:rPr>
          <w:rtl w:val="0"/>
        </w:rPr>
      </w:r>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B, Indicator 1</w:t>
      </w:r>
      <w:r w:rsidDel="00000000" w:rsidR="00000000" w:rsidRPr="00000000">
        <w:rPr>
          <w:rtl w:val="0"/>
        </w:rPr>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seven</w:t>
      </w:r>
      <w:r w:rsidDel="00000000" w:rsidR="00000000" w:rsidRPr="00000000">
        <w:rPr>
          <w:rtl w:val="0"/>
        </w:rPr>
      </w:r>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A, Indicator 1</w:t>
      </w:r>
      <w:r w:rsidDel="00000000" w:rsidR="00000000" w:rsidRPr="00000000">
        <w:rPr>
          <w:rtl w:val="0"/>
        </w:rPr>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eight</w:t>
      </w:r>
      <w:r w:rsidDel="00000000" w:rsidR="00000000" w:rsidRPr="00000000">
        <w:rPr>
          <w:rtl w:val="0"/>
        </w:rPr>
      </w:r>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B, Indicator 1</w:t>
      </w:r>
      <w:r w:rsidDel="00000000" w:rsidR="00000000" w:rsidRPr="00000000">
        <w:rPr>
          <w:rtl w:val="0"/>
        </w:rPr>
      </w:r>
    </w:p>
    <w:p w:rsidR="00000000" w:rsidDel="00000000" w:rsidP="00000000" w:rsidRDefault="00000000" w:rsidRPr="00000000">
      <w:pPr>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Inquiry Idea Starters</w:t>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Do the nitrate levels differ between the two sites? If so, what are some possible reasons why?</w:t>
      </w:r>
      <w:r w:rsidDel="00000000" w:rsidR="00000000" w:rsidRPr="00000000">
        <w:rPr>
          <w:rtl w:val="0"/>
        </w:rPr>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Is there a seasonal trend among the data?</w:t>
      </w:r>
      <w:r w:rsidDel="00000000" w:rsidR="00000000" w:rsidRPr="00000000">
        <w:rPr>
          <w:rtl w:val="0"/>
        </w:rPr>
      </w:r>
    </w:p>
    <w:p w:rsidR="00000000" w:rsidDel="00000000" w:rsidP="00000000" w:rsidRDefault="00000000" w:rsidRPr="00000000">
      <w:pPr>
        <w:numPr>
          <w:ilvl w:val="0"/>
          <w:numId w:val="2"/>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Additional Resources</w:t>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w:t>
      </w:r>
      <w:hyperlink r:id="rId9">
        <w:r w:rsidDel="00000000" w:rsidR="00000000" w:rsidRPr="00000000">
          <w:rPr>
            <w:rFonts w:ascii="Times New Roman" w:cs="Times New Roman" w:eastAsia="Times New Roman" w:hAnsi="Times New Roman"/>
            <w:b w:val="0"/>
            <w:color w:val="0563c1"/>
            <w:sz w:val="24"/>
            <w:szCs w:val="24"/>
            <w:u w:val="single"/>
            <w:rtl w:val="0"/>
          </w:rPr>
          <w:t xml:space="preserve">http://md.water.usgs.gov/publications/wrir-97-4139/html.htm</w:t>
        </w:r>
      </w:hyperlink>
      <w:hyperlink r:id="rId10">
        <w:r w:rsidDel="00000000" w:rsidR="00000000" w:rsidRPr="00000000">
          <w:rPr>
            <w:rtl w:val="0"/>
          </w:rPr>
        </w:r>
      </w:hyperlink>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The USGS explain how nitrates enter freshwater areas and the relationship between nitrates and pesticides.</w:t>
      </w:r>
    </w:p>
    <w:p w:rsidR="00000000" w:rsidDel="00000000" w:rsidP="00000000" w:rsidRDefault="00000000" w:rsidRPr="00000000">
      <w:pPr>
        <w:numPr>
          <w:ilvl w:val="1"/>
          <w:numId w:val="2"/>
        </w:numPr>
        <w:spacing w:after="0" w:before="0" w:line="276" w:lineRule="auto"/>
        <w:ind w:left="720" w:hanging="360"/>
        <w:rPr>
          <w:rFonts w:ascii="Times New Roman" w:cs="Times New Roman" w:eastAsia="Times New Roman" w:hAnsi="Times New Roman"/>
          <w:b w:val="0"/>
          <w:color w:val="000000"/>
          <w:sz w:val="24"/>
          <w:szCs w:val="24"/>
        </w:rPr>
      </w:pPr>
      <w:hyperlink r:id="rId11">
        <w:r w:rsidDel="00000000" w:rsidR="00000000" w:rsidRPr="00000000">
          <w:rPr>
            <w:rFonts w:ascii="Times New Roman" w:cs="Times New Roman" w:eastAsia="Times New Roman" w:hAnsi="Times New Roman"/>
            <w:b w:val="0"/>
            <w:color w:val="0563c1"/>
            <w:sz w:val="24"/>
            <w:szCs w:val="24"/>
            <w:u w:val="single"/>
            <w:rtl w:val="0"/>
          </w:rPr>
          <w:t xml:space="preserve">http://www.beslter.org/virtual_tour/Nitrate.html</w:t>
        </w:r>
      </w:hyperlink>
      <w:hyperlink r:id="rId12">
        <w:r w:rsidDel="00000000" w:rsidR="00000000" w:rsidRPr="00000000">
          <w:rPr>
            <w:rtl w:val="0"/>
          </w:rPr>
        </w:r>
      </w:hyperlink>
    </w:p>
    <w:p w:rsidR="00000000" w:rsidDel="00000000" w:rsidP="00000000" w:rsidRDefault="00000000" w:rsidRPr="00000000">
      <w:pPr>
        <w:numPr>
          <w:ilvl w:val="2"/>
          <w:numId w:val="2"/>
        </w:numPr>
        <w:spacing w:after="0" w:before="0" w:line="276" w:lineRule="auto"/>
        <w:ind w:left="108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BES outlines the sources of nitrates and the importance of studying them in streams.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Sources</w:t>
      </w:r>
    </w:p>
    <w:p w:rsidR="00000000" w:rsidDel="00000000" w:rsidP="00000000" w:rsidRDefault="00000000" w:rsidRPr="00000000">
      <w:pPr>
        <w:spacing w:after="0" w:before="0" w:line="276" w:lineRule="auto"/>
        <w:ind w:left="720" w:hanging="720"/>
        <w:contextualSpacing w:val="0"/>
      </w:pPr>
      <w:bookmarkStart w:colFirst="0" w:colLast="0" w:name="_gjdgxs" w:id="0"/>
      <w:bookmarkEnd w:id="0"/>
      <w:r w:rsidDel="00000000" w:rsidR="00000000" w:rsidRPr="00000000">
        <w:rPr>
          <w:rFonts w:ascii="Times New Roman" w:cs="Times New Roman" w:eastAsia="Times New Roman" w:hAnsi="Times New Roman"/>
          <w:b w:val="0"/>
          <w:color w:val="000000"/>
          <w:sz w:val="24"/>
          <w:szCs w:val="24"/>
          <w:rtl w:val="0"/>
        </w:rPr>
        <w:t xml:space="preserve">Nitrate. </w:t>
      </w:r>
      <w:r w:rsidDel="00000000" w:rsidR="00000000" w:rsidRPr="00000000">
        <w:rPr>
          <w:rFonts w:ascii="Times New Roman" w:cs="Times New Roman" w:eastAsia="Times New Roman" w:hAnsi="Times New Roman"/>
          <w:b w:val="0"/>
          <w:i w:val="1"/>
          <w:color w:val="000000"/>
          <w:sz w:val="24"/>
          <w:szCs w:val="24"/>
          <w:rtl w:val="0"/>
        </w:rPr>
        <w:t xml:space="preserve">Maryland Geological Survey. </w:t>
      </w:r>
      <w:r w:rsidDel="00000000" w:rsidR="00000000" w:rsidRPr="00000000">
        <w:rPr>
          <w:rFonts w:ascii="Times New Roman" w:cs="Times New Roman" w:eastAsia="Times New Roman" w:hAnsi="Times New Roman"/>
          <w:b w:val="0"/>
          <w:color w:val="000000"/>
          <w:sz w:val="24"/>
          <w:szCs w:val="24"/>
          <w:rtl w:val="0"/>
        </w:rPr>
        <w:t xml:space="preserve">July 30, 2016. </w:t>
      </w:r>
      <w:hyperlink r:id="rId13">
        <w:r w:rsidDel="00000000" w:rsidR="00000000" w:rsidRPr="00000000">
          <w:rPr>
            <w:rFonts w:ascii="Times New Roman" w:cs="Times New Roman" w:eastAsia="Times New Roman" w:hAnsi="Times New Roman"/>
            <w:b w:val="0"/>
            <w:color w:val="0563c1"/>
            <w:sz w:val="24"/>
            <w:szCs w:val="24"/>
            <w:u w:val="single"/>
            <w:rtl w:val="0"/>
          </w:rPr>
          <w:t xml:space="preserve">http://www.mgs.md.gov/groundwater/nitrate.html</w:t>
        </w:r>
      </w:hyperlink>
      <w:hyperlink r:id="rId14">
        <w:r w:rsidDel="00000000" w:rsidR="00000000" w:rsidRPr="00000000">
          <w:rPr>
            <w:rtl w:val="0"/>
          </w:rPr>
        </w:r>
      </w:hyperlink>
    </w:p>
    <w:p w:rsidR="00000000" w:rsidDel="00000000" w:rsidP="00000000" w:rsidRDefault="00000000" w:rsidRPr="00000000">
      <w:pPr>
        <w:spacing w:after="0" w:before="0" w:line="276" w:lineRule="auto"/>
        <w:ind w:left="720" w:hanging="720"/>
        <w:contextualSpacing w:val="0"/>
      </w:pPr>
      <w:r w:rsidDel="00000000" w:rsidR="00000000" w:rsidRPr="00000000">
        <w:rPr>
          <w:rFonts w:ascii="Times New Roman" w:cs="Times New Roman" w:eastAsia="Times New Roman" w:hAnsi="Times New Roman"/>
          <w:b w:val="0"/>
          <w:color w:val="000000"/>
          <w:sz w:val="24"/>
          <w:szCs w:val="24"/>
          <w:rtl w:val="0"/>
        </w:rPr>
        <w:t xml:space="preserve">Secondary Drinking Water Standards. </w:t>
      </w:r>
      <w:r w:rsidDel="00000000" w:rsidR="00000000" w:rsidRPr="00000000">
        <w:rPr>
          <w:rFonts w:ascii="Times New Roman" w:cs="Times New Roman" w:eastAsia="Times New Roman" w:hAnsi="Times New Roman"/>
          <w:b w:val="0"/>
          <w:i w:val="1"/>
          <w:color w:val="000000"/>
          <w:sz w:val="24"/>
          <w:szCs w:val="24"/>
          <w:rtl w:val="0"/>
        </w:rPr>
        <w:t xml:space="preserve">US Environmental Protection Agency. </w:t>
      </w:r>
      <w:r w:rsidDel="00000000" w:rsidR="00000000" w:rsidRPr="00000000">
        <w:rPr>
          <w:rFonts w:ascii="Times New Roman" w:cs="Times New Roman" w:eastAsia="Times New Roman" w:hAnsi="Times New Roman"/>
          <w:b w:val="0"/>
          <w:color w:val="000000"/>
          <w:sz w:val="24"/>
          <w:szCs w:val="24"/>
          <w:rtl w:val="0"/>
        </w:rPr>
        <w:t xml:space="preserve">July 20, 2016. </w:t>
      </w:r>
      <w:hyperlink r:id="rId15">
        <w:r w:rsidDel="00000000" w:rsidR="00000000" w:rsidRPr="00000000">
          <w:rPr>
            <w:rFonts w:ascii="Times New Roman" w:cs="Times New Roman" w:eastAsia="Times New Roman" w:hAnsi="Times New Roman"/>
            <w:b w:val="0"/>
            <w:color w:val="0563c1"/>
            <w:sz w:val="24"/>
            <w:szCs w:val="24"/>
            <w:u w:val="single"/>
            <w:rtl w:val="0"/>
          </w:rPr>
          <w:t xml:space="preserve">https://www.epa.gov/dwstandardsregulations/secondary-drinking-water-standards-guidance-nuisance-chemicals</w:t>
        </w:r>
      </w:hyperlink>
      <w:r w:rsidDel="00000000" w:rsidR="00000000" w:rsidRPr="00000000">
        <w:rPr>
          <w:rtl w:val="0"/>
        </w:rPr>
      </w:r>
    </w:p>
    <w:p w:rsidR="00000000" w:rsidDel="00000000" w:rsidP="00000000" w:rsidRDefault="00000000" w:rsidRPr="00000000">
      <w:pPr>
        <w:spacing w:after="0" w:before="0" w:line="276"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Contamination of Water and Soil. </w:t>
      </w:r>
      <w:r w:rsidDel="00000000" w:rsidR="00000000" w:rsidRPr="00000000">
        <w:rPr>
          <w:rFonts w:ascii="Times New Roman" w:cs="Times New Roman" w:eastAsia="Times New Roman" w:hAnsi="Times New Roman"/>
          <w:i w:val="1"/>
          <w:sz w:val="24"/>
          <w:szCs w:val="24"/>
          <w:rtl w:val="0"/>
        </w:rPr>
        <w:t xml:space="preserve">Extoxnet (Oregon State University). </w:t>
      </w:r>
      <w:r w:rsidDel="00000000" w:rsidR="00000000" w:rsidRPr="00000000">
        <w:rPr>
          <w:rFonts w:ascii="Times New Roman" w:cs="Times New Roman" w:eastAsia="Times New Roman" w:hAnsi="Times New Roman"/>
          <w:sz w:val="24"/>
          <w:szCs w:val="24"/>
          <w:rtl w:val="0"/>
        </w:rPr>
        <w:t xml:space="preserve">August 2, 2016.</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http://extoxnet.orst.edu/faqs/safedrink/sewage.htm</w:t>
        </w:r>
      </w:hyperlink>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eslter.org/virtual_tour/Nitrate.html" TargetMode="External"/><Relationship Id="rId10" Type="http://schemas.openxmlformats.org/officeDocument/2006/relationships/hyperlink" Target="http://md.water.usgs.gov/publications/wrir-97-4139/html.htm" TargetMode="External"/><Relationship Id="rId13" Type="http://schemas.openxmlformats.org/officeDocument/2006/relationships/hyperlink" Target="http://www.mgs.md.gov/groundwater/nitrate.html" TargetMode="External"/><Relationship Id="rId12" Type="http://schemas.openxmlformats.org/officeDocument/2006/relationships/hyperlink" Target="http://www.beslter.org/virtual_tour/Nitrate.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d.water.usgs.gov/publications/wrir-97-4139/html.htm" TargetMode="External"/><Relationship Id="rId15" Type="http://schemas.openxmlformats.org/officeDocument/2006/relationships/hyperlink" Target="https://www.epa.gov/dwstandardsregulations/secondary-drinking-water-standards-guidance-nuisance-chemicals" TargetMode="External"/><Relationship Id="rId14" Type="http://schemas.openxmlformats.org/officeDocument/2006/relationships/hyperlink" Target="http://www.mgs.md.gov/groundwater/nitrate.html" TargetMode="External"/><Relationship Id="rId17" Type="http://schemas.openxmlformats.org/officeDocument/2006/relationships/hyperlink" Target="https://www.epa.gov/dwstandardsregulations/secondary-drinking-water-standards-guidance-nuisance-chemicals" TargetMode="External"/><Relationship Id="rId16" Type="http://schemas.openxmlformats.org/officeDocument/2006/relationships/hyperlink" Target="http://extoxnet.orst.edu/faqs/safedrink/sewage.htm" TargetMode="Externa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yperlink" Target="mailto:groffmanp@caryinstitute.org" TargetMode="External"/><Relationship Id="rId8" Type="http://schemas.openxmlformats.org/officeDocument/2006/relationships/hyperlink" Target="http://www.caryinstitute.org/science-program/our-scientists/dr-peter-m-roffman" TargetMode="External"/></Relationships>
</file>